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5" w:type="dxa"/>
        <w:tblInd w:w="-71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455"/>
      </w:tblGrid>
      <w:tr w:rsidR="008C0C21" w:rsidRPr="00836594" w:rsidTr="006E039F">
        <w:trPr>
          <w:trHeight w:val="66"/>
        </w:trPr>
        <w:tc>
          <w:tcPr>
            <w:tcW w:w="10455" w:type="dxa"/>
            <w:tcBorders>
              <w:top w:val="single" w:sz="8" w:space="0" w:color="000000"/>
              <w:bottom w:val="single" w:sz="8" w:space="0" w:color="000000"/>
            </w:tcBorders>
            <w:shd w:val="clear" w:color="auto" w:fill="003265"/>
          </w:tcPr>
          <w:p w:rsidR="008C0C21" w:rsidRPr="008C0C21" w:rsidRDefault="008C0C21" w:rsidP="00FB68F0">
            <w:pPr>
              <w:pStyle w:val="Header"/>
              <w:jc w:val="center"/>
            </w:pPr>
            <w:r w:rsidRPr="008C0C21">
              <w:rPr>
                <w:rFonts w:ascii="Verdana" w:hAnsi="Verdana"/>
                <w:sz w:val="36"/>
                <w:szCs w:val="36"/>
              </w:rPr>
              <w:t xml:space="preserve">Examination </w:t>
            </w:r>
            <w:r w:rsidR="00FB68F0">
              <w:rPr>
                <w:rFonts w:ascii="Verdana" w:hAnsi="Verdana"/>
                <w:sz w:val="36"/>
                <w:szCs w:val="36"/>
              </w:rPr>
              <w:t>Code of Conduct</w:t>
            </w:r>
          </w:p>
        </w:tc>
      </w:tr>
      <w:tr w:rsidR="008C0C21" w:rsidRPr="00836594" w:rsidTr="006E039F">
        <w:trPr>
          <w:trHeight w:val="132"/>
        </w:trPr>
        <w:tc>
          <w:tcPr>
            <w:tcW w:w="10455" w:type="dxa"/>
            <w:tcBorders>
              <w:top w:val="single" w:sz="8" w:space="0" w:color="000000"/>
              <w:bottom w:val="single" w:sz="8" w:space="0" w:color="000000"/>
            </w:tcBorders>
          </w:tcPr>
          <w:p w:rsidR="008C0C21" w:rsidRPr="006E039F" w:rsidRDefault="008C0C21" w:rsidP="00302E17">
            <w:pPr>
              <w:jc w:val="both"/>
              <w:rPr>
                <w:rFonts w:ascii="Verdana" w:hAnsi="Verdana" w:cs="Verdana"/>
                <w:color w:val="000000"/>
                <w:sz w:val="21"/>
                <w:szCs w:val="21"/>
              </w:rPr>
            </w:pPr>
            <w:r w:rsidRPr="006E039F">
              <w:rPr>
                <w:rFonts w:ascii="Verdana" w:hAnsi="Verdana" w:cs="Verdana"/>
                <w:color w:val="000000"/>
                <w:sz w:val="21"/>
                <w:szCs w:val="21"/>
              </w:rPr>
              <w:t xml:space="preserve">Individual examination timetables </w:t>
            </w:r>
            <w:proofErr w:type="gramStart"/>
            <w:r w:rsidRPr="006E039F">
              <w:rPr>
                <w:rFonts w:ascii="Verdana" w:hAnsi="Verdana" w:cs="Verdana"/>
                <w:color w:val="000000"/>
                <w:sz w:val="21"/>
                <w:szCs w:val="21"/>
              </w:rPr>
              <w:t>are accessed</w:t>
            </w:r>
            <w:proofErr w:type="gramEnd"/>
            <w:r w:rsidRPr="006E039F">
              <w:rPr>
                <w:rFonts w:ascii="Verdana" w:hAnsi="Verdana" w:cs="Verdana"/>
                <w:color w:val="000000"/>
                <w:sz w:val="21"/>
                <w:szCs w:val="21"/>
              </w:rPr>
              <w:t xml:space="preserve"> online via NOW. Candidates </w:t>
            </w:r>
            <w:r w:rsidR="00FB68F0" w:rsidRPr="006E039F">
              <w:rPr>
                <w:rFonts w:ascii="Verdana" w:hAnsi="Verdana" w:cs="Verdana"/>
                <w:color w:val="000000"/>
                <w:sz w:val="21"/>
                <w:szCs w:val="21"/>
              </w:rPr>
              <w:t>must</w:t>
            </w:r>
            <w:r w:rsidRPr="006E039F">
              <w:rPr>
                <w:rFonts w:ascii="Verdana" w:hAnsi="Verdana" w:cs="Verdana"/>
                <w:color w:val="000000"/>
                <w:sz w:val="21"/>
                <w:szCs w:val="21"/>
              </w:rPr>
              <w:t xml:space="preserve"> </w:t>
            </w:r>
            <w:r w:rsidR="00971230" w:rsidRPr="006E039F">
              <w:rPr>
                <w:rFonts w:ascii="Verdana" w:hAnsi="Verdana" w:cs="Verdana"/>
                <w:color w:val="000000"/>
                <w:sz w:val="21"/>
                <w:szCs w:val="21"/>
              </w:rPr>
              <w:t xml:space="preserve">regularly </w:t>
            </w:r>
            <w:r w:rsidRPr="006E039F">
              <w:rPr>
                <w:rFonts w:ascii="Verdana" w:hAnsi="Verdana" w:cs="Verdana"/>
                <w:color w:val="000000"/>
                <w:sz w:val="21"/>
                <w:szCs w:val="21"/>
              </w:rPr>
              <w:t>check their online timetable for t</w:t>
            </w:r>
            <w:r w:rsidR="00FB68F0" w:rsidRPr="006E039F">
              <w:rPr>
                <w:rFonts w:ascii="Verdana" w:hAnsi="Verdana" w:cs="Verdana"/>
                <w:color w:val="000000"/>
                <w:sz w:val="21"/>
                <w:szCs w:val="21"/>
              </w:rPr>
              <w:t>he most up-to-date information</w:t>
            </w:r>
            <w:r w:rsidR="00971230" w:rsidRPr="006E039F">
              <w:rPr>
                <w:rFonts w:ascii="Verdana" w:hAnsi="Verdana" w:cs="Verdana"/>
                <w:color w:val="000000"/>
                <w:sz w:val="21"/>
                <w:szCs w:val="21"/>
              </w:rPr>
              <w:t>.</w:t>
            </w:r>
          </w:p>
        </w:tc>
      </w:tr>
      <w:tr w:rsidR="008C0C21" w:rsidRPr="00836594" w:rsidTr="006E039F">
        <w:trPr>
          <w:trHeight w:val="198"/>
        </w:trPr>
        <w:tc>
          <w:tcPr>
            <w:tcW w:w="10455" w:type="dxa"/>
            <w:tcBorders>
              <w:top w:val="single" w:sz="8" w:space="0" w:color="000000"/>
              <w:bottom w:val="single" w:sz="8" w:space="0" w:color="000000"/>
            </w:tcBorders>
          </w:tcPr>
          <w:p w:rsidR="008C0C21" w:rsidRPr="006E039F" w:rsidRDefault="008C0C21" w:rsidP="00EA2104">
            <w:pPr>
              <w:pStyle w:val="Default"/>
              <w:jc w:val="both"/>
              <w:rPr>
                <w:rFonts w:ascii="Verdana" w:hAnsi="Verdana" w:cs="Verdana"/>
                <w:sz w:val="21"/>
                <w:szCs w:val="21"/>
              </w:rPr>
            </w:pPr>
            <w:r w:rsidRPr="006E039F">
              <w:rPr>
                <w:rFonts w:ascii="Verdana" w:hAnsi="Verdana" w:cs="Verdana"/>
                <w:sz w:val="21"/>
                <w:szCs w:val="21"/>
              </w:rPr>
              <w:t xml:space="preserve">Candidates arriving more than 30 minutes late for an examination </w:t>
            </w:r>
            <w:proofErr w:type="gramStart"/>
            <w:r w:rsidRPr="006E039F">
              <w:rPr>
                <w:rFonts w:ascii="Verdana" w:hAnsi="Verdana" w:cs="Verdana"/>
                <w:sz w:val="21"/>
                <w:szCs w:val="21"/>
              </w:rPr>
              <w:t>will not be allowed</w:t>
            </w:r>
            <w:proofErr w:type="gramEnd"/>
            <w:r w:rsidRPr="006E039F">
              <w:rPr>
                <w:rFonts w:ascii="Verdana" w:hAnsi="Verdana" w:cs="Verdana"/>
                <w:sz w:val="21"/>
                <w:szCs w:val="21"/>
              </w:rPr>
              <w:t xml:space="preserve"> to sit the examination. Candidates arriving within the first 30 minutes of an examination starting will not </w:t>
            </w:r>
            <w:r w:rsidR="00FB68F0" w:rsidRPr="006E039F">
              <w:rPr>
                <w:rFonts w:ascii="Verdana" w:hAnsi="Verdana" w:cs="Verdana"/>
                <w:sz w:val="21"/>
                <w:szCs w:val="21"/>
              </w:rPr>
              <w:t>receive any lost time</w:t>
            </w:r>
            <w:r w:rsidR="00971230" w:rsidRPr="006E039F">
              <w:rPr>
                <w:rFonts w:ascii="Verdana" w:hAnsi="Verdana" w:cs="Verdana"/>
                <w:sz w:val="21"/>
                <w:szCs w:val="21"/>
              </w:rPr>
              <w:t>.</w:t>
            </w:r>
          </w:p>
        </w:tc>
      </w:tr>
      <w:tr w:rsidR="008C0C21" w:rsidTr="006E039F">
        <w:trPr>
          <w:trHeight w:val="198"/>
        </w:trPr>
        <w:tc>
          <w:tcPr>
            <w:tcW w:w="10455" w:type="dxa"/>
            <w:tcBorders>
              <w:top w:val="single" w:sz="8" w:space="0" w:color="000000"/>
              <w:bottom w:val="single" w:sz="8" w:space="0" w:color="000000"/>
            </w:tcBorders>
          </w:tcPr>
          <w:p w:rsidR="008C0C21" w:rsidRPr="006E039F" w:rsidRDefault="008C0C21" w:rsidP="005922E8">
            <w:pPr>
              <w:pStyle w:val="Default"/>
              <w:jc w:val="both"/>
              <w:rPr>
                <w:rFonts w:ascii="Verdana" w:hAnsi="Verdana" w:cs="Verdana"/>
                <w:sz w:val="21"/>
                <w:szCs w:val="21"/>
              </w:rPr>
            </w:pPr>
            <w:r w:rsidRPr="00E23AD7">
              <w:rPr>
                <w:rFonts w:ascii="Verdana" w:hAnsi="Verdana" w:cs="Verdana"/>
                <w:sz w:val="21"/>
                <w:szCs w:val="21"/>
              </w:rPr>
              <w:t xml:space="preserve">Candidates may not leave the examination room within the first 45 minutes of the examination. No candidate will be allowed to return after having left the room unless </w:t>
            </w:r>
            <w:proofErr w:type="gramStart"/>
            <w:r w:rsidRPr="00E23AD7">
              <w:rPr>
                <w:rFonts w:ascii="Verdana" w:hAnsi="Verdana" w:cs="Verdana"/>
                <w:sz w:val="21"/>
                <w:szCs w:val="21"/>
              </w:rPr>
              <w:t>they have been accompanied by an Invigilator</w:t>
            </w:r>
            <w:proofErr w:type="gramEnd"/>
            <w:r w:rsidR="00971230" w:rsidRPr="00E23AD7">
              <w:rPr>
                <w:rFonts w:ascii="Verdana" w:hAnsi="Verdana" w:cs="Verdana"/>
                <w:sz w:val="21"/>
                <w:szCs w:val="21"/>
              </w:rPr>
              <w:t>.</w:t>
            </w:r>
            <w:bookmarkStart w:id="0" w:name="_GoBack"/>
            <w:bookmarkEnd w:id="0"/>
          </w:p>
        </w:tc>
      </w:tr>
      <w:tr w:rsidR="008C0C21" w:rsidRPr="00836594" w:rsidTr="006E039F">
        <w:trPr>
          <w:trHeight w:val="66"/>
        </w:trPr>
        <w:tc>
          <w:tcPr>
            <w:tcW w:w="10455" w:type="dxa"/>
            <w:tcBorders>
              <w:top w:val="single" w:sz="8" w:space="0" w:color="000000"/>
              <w:bottom w:val="single" w:sz="8" w:space="0" w:color="000000"/>
            </w:tcBorders>
            <w:shd w:val="clear" w:color="auto" w:fill="003265"/>
          </w:tcPr>
          <w:p w:rsidR="008C0C21" w:rsidRPr="00836594" w:rsidRDefault="008C0C21" w:rsidP="00EA2104">
            <w:pPr>
              <w:pStyle w:val="Default"/>
              <w:jc w:val="both"/>
              <w:rPr>
                <w:rFonts w:ascii="Verdana" w:hAnsi="Verdana" w:cs="Verdana"/>
                <w:color w:val="FFFFFF"/>
                <w:sz w:val="20"/>
                <w:szCs w:val="20"/>
              </w:rPr>
            </w:pPr>
            <w:r w:rsidRPr="006E039F">
              <w:rPr>
                <w:rFonts w:ascii="Verdana" w:hAnsi="Verdana" w:cs="Verdana"/>
                <w:b/>
                <w:bCs/>
                <w:color w:val="FFFFFF"/>
                <w:sz w:val="22"/>
                <w:szCs w:val="22"/>
              </w:rPr>
              <w:t>What candidates should bring to the examination</w:t>
            </w:r>
          </w:p>
        </w:tc>
      </w:tr>
      <w:tr w:rsidR="008C0C21" w:rsidTr="006E039F">
        <w:trPr>
          <w:trHeight w:val="66"/>
        </w:trPr>
        <w:tc>
          <w:tcPr>
            <w:tcW w:w="10455" w:type="dxa"/>
            <w:tcBorders>
              <w:top w:val="single" w:sz="8" w:space="0" w:color="000000"/>
              <w:bottom w:val="single" w:sz="8" w:space="0" w:color="000000"/>
            </w:tcBorders>
            <w:shd w:val="clear" w:color="auto" w:fill="auto"/>
          </w:tcPr>
          <w:p w:rsidR="006E039F" w:rsidRPr="006E039F" w:rsidRDefault="008C0C21" w:rsidP="006E039F">
            <w:pPr>
              <w:pStyle w:val="Default"/>
              <w:jc w:val="both"/>
              <w:rPr>
                <w:rFonts w:ascii="Verdana" w:hAnsi="Verdana" w:cs="Verdana"/>
                <w:sz w:val="21"/>
                <w:szCs w:val="21"/>
              </w:rPr>
            </w:pPr>
            <w:r w:rsidRPr="006E039F">
              <w:rPr>
                <w:rFonts w:ascii="Verdana" w:hAnsi="Verdana" w:cs="Verdana"/>
                <w:sz w:val="21"/>
                <w:szCs w:val="21"/>
              </w:rPr>
              <w:t xml:space="preserve">Candidates must bring their NTU </w:t>
            </w:r>
            <w:r w:rsidR="00FB68F0" w:rsidRPr="006E039F">
              <w:rPr>
                <w:rFonts w:ascii="Verdana" w:hAnsi="Verdana" w:cs="Verdana"/>
                <w:sz w:val="21"/>
                <w:szCs w:val="21"/>
              </w:rPr>
              <w:t>student</w:t>
            </w:r>
            <w:r w:rsidRPr="006E039F">
              <w:rPr>
                <w:rFonts w:ascii="Verdana" w:hAnsi="Verdana" w:cs="Verdana"/>
                <w:sz w:val="21"/>
                <w:szCs w:val="21"/>
              </w:rPr>
              <w:t xml:space="preserve"> ID card to every exam</w:t>
            </w:r>
            <w:r w:rsidR="00971230" w:rsidRPr="006E039F">
              <w:rPr>
                <w:rFonts w:ascii="Verdana" w:hAnsi="Verdana" w:cs="Verdana"/>
                <w:sz w:val="21"/>
                <w:szCs w:val="21"/>
              </w:rPr>
              <w:t>.</w:t>
            </w:r>
          </w:p>
        </w:tc>
      </w:tr>
      <w:tr w:rsidR="008C0C21" w:rsidRPr="00AE1FC5" w:rsidTr="006E039F">
        <w:trPr>
          <w:trHeight w:val="66"/>
        </w:trPr>
        <w:tc>
          <w:tcPr>
            <w:tcW w:w="10455" w:type="dxa"/>
            <w:tcBorders>
              <w:top w:val="single" w:sz="8" w:space="0" w:color="000000"/>
              <w:bottom w:val="single" w:sz="8" w:space="0" w:color="000000"/>
            </w:tcBorders>
            <w:shd w:val="clear" w:color="auto" w:fill="auto"/>
          </w:tcPr>
          <w:p w:rsidR="008C0C21" w:rsidRPr="006E039F" w:rsidRDefault="008C0C21" w:rsidP="00FB68F0">
            <w:pPr>
              <w:pStyle w:val="Default"/>
              <w:jc w:val="both"/>
              <w:rPr>
                <w:rFonts w:ascii="Verdana" w:hAnsi="Verdana" w:cs="Verdana"/>
                <w:b/>
                <w:bCs/>
                <w:color w:val="auto"/>
                <w:sz w:val="21"/>
                <w:szCs w:val="21"/>
              </w:rPr>
            </w:pPr>
            <w:r w:rsidRPr="006E039F">
              <w:rPr>
                <w:rFonts w:ascii="Verdana" w:hAnsi="Verdana" w:cs="Verdana"/>
                <w:sz w:val="21"/>
                <w:szCs w:val="21"/>
              </w:rPr>
              <w:t xml:space="preserve">Candidates may </w:t>
            </w:r>
            <w:r w:rsidR="00971230" w:rsidRPr="006E039F">
              <w:rPr>
                <w:rFonts w:ascii="Verdana" w:hAnsi="Verdana" w:cs="Verdana"/>
                <w:sz w:val="21"/>
                <w:szCs w:val="21"/>
              </w:rPr>
              <w:t xml:space="preserve">only </w:t>
            </w:r>
            <w:r w:rsidRPr="006E039F">
              <w:rPr>
                <w:rFonts w:ascii="Verdana" w:hAnsi="Verdana" w:cs="Verdana"/>
                <w:sz w:val="21"/>
                <w:szCs w:val="21"/>
              </w:rPr>
              <w:t>bring a small clear bo</w:t>
            </w:r>
            <w:r w:rsidR="00FB68F0" w:rsidRPr="006E039F">
              <w:rPr>
                <w:rFonts w:ascii="Verdana" w:hAnsi="Verdana" w:cs="Verdana"/>
                <w:sz w:val="21"/>
                <w:szCs w:val="21"/>
              </w:rPr>
              <w:t>ttle of water to the exam</w:t>
            </w:r>
            <w:r w:rsidR="00971230" w:rsidRPr="006E039F">
              <w:rPr>
                <w:rFonts w:ascii="Verdana" w:hAnsi="Verdana" w:cs="Verdana"/>
                <w:sz w:val="21"/>
                <w:szCs w:val="21"/>
              </w:rPr>
              <w:t>.</w:t>
            </w:r>
          </w:p>
        </w:tc>
      </w:tr>
      <w:tr w:rsidR="008C0C21" w:rsidTr="006E039F">
        <w:trPr>
          <w:trHeight w:val="264"/>
        </w:trPr>
        <w:tc>
          <w:tcPr>
            <w:tcW w:w="10455" w:type="dxa"/>
            <w:tcBorders>
              <w:top w:val="single" w:sz="8" w:space="0" w:color="000000"/>
              <w:bottom w:val="single" w:sz="8" w:space="0" w:color="000000"/>
            </w:tcBorders>
          </w:tcPr>
          <w:p w:rsidR="008C0C21" w:rsidRPr="006E039F" w:rsidRDefault="00971230" w:rsidP="00971230">
            <w:pPr>
              <w:pStyle w:val="Default"/>
              <w:jc w:val="both"/>
              <w:rPr>
                <w:rFonts w:ascii="Verdana" w:hAnsi="Verdana" w:cs="Verdana"/>
                <w:sz w:val="21"/>
                <w:szCs w:val="21"/>
              </w:rPr>
            </w:pPr>
            <w:r w:rsidRPr="006E039F">
              <w:rPr>
                <w:rFonts w:ascii="Verdana" w:hAnsi="Verdana" w:cs="Verdana"/>
                <w:sz w:val="21"/>
                <w:szCs w:val="21"/>
              </w:rPr>
              <w:t xml:space="preserve">Candidates must ensure they have the appropriate stationery for each examination. The University is not responsible for the provision of pens, pencils, rulers etc. Stationery must be in a clear pencil case or bag. </w:t>
            </w:r>
          </w:p>
        </w:tc>
      </w:tr>
      <w:tr w:rsidR="00971230" w:rsidRPr="00836594" w:rsidTr="006E039F">
        <w:trPr>
          <w:trHeight w:val="264"/>
        </w:trPr>
        <w:tc>
          <w:tcPr>
            <w:tcW w:w="10455" w:type="dxa"/>
            <w:tcBorders>
              <w:top w:val="single" w:sz="8" w:space="0" w:color="000000"/>
              <w:bottom w:val="single" w:sz="8" w:space="0" w:color="000000"/>
            </w:tcBorders>
          </w:tcPr>
          <w:p w:rsidR="00971230" w:rsidRPr="006E039F" w:rsidRDefault="00971230" w:rsidP="00971230">
            <w:pPr>
              <w:pStyle w:val="Default"/>
              <w:jc w:val="both"/>
              <w:rPr>
                <w:rFonts w:ascii="Verdana" w:hAnsi="Verdana" w:cs="Verdana"/>
                <w:sz w:val="21"/>
                <w:szCs w:val="21"/>
              </w:rPr>
            </w:pPr>
            <w:r w:rsidRPr="006E039F">
              <w:rPr>
                <w:rFonts w:ascii="Verdana" w:hAnsi="Verdana" w:cs="Verdana"/>
                <w:color w:val="auto"/>
                <w:sz w:val="21"/>
                <w:szCs w:val="21"/>
              </w:rPr>
              <w:t xml:space="preserve">The University does not supply calculators for examinations. Candidates must bring their own calculator to the exam, where its use </w:t>
            </w:r>
            <w:proofErr w:type="gramStart"/>
            <w:r w:rsidRPr="006E039F">
              <w:rPr>
                <w:rFonts w:ascii="Verdana" w:hAnsi="Verdana" w:cs="Verdana"/>
                <w:color w:val="auto"/>
                <w:sz w:val="21"/>
                <w:szCs w:val="21"/>
              </w:rPr>
              <w:t>is permitted</w:t>
            </w:r>
            <w:proofErr w:type="gramEnd"/>
            <w:r w:rsidRPr="006E039F">
              <w:rPr>
                <w:rFonts w:ascii="Verdana" w:hAnsi="Verdana" w:cs="Verdana"/>
                <w:color w:val="auto"/>
                <w:sz w:val="21"/>
                <w:szCs w:val="21"/>
              </w:rPr>
              <w:t xml:space="preserve">. Calculators that incorporate an alphabetic input </w:t>
            </w:r>
            <w:proofErr w:type="gramStart"/>
            <w:r w:rsidRPr="006E039F">
              <w:rPr>
                <w:rFonts w:ascii="Verdana" w:hAnsi="Verdana" w:cs="Verdana"/>
                <w:color w:val="auto"/>
                <w:sz w:val="21"/>
                <w:szCs w:val="21"/>
              </w:rPr>
              <w:t>are not permitted</w:t>
            </w:r>
            <w:proofErr w:type="gramEnd"/>
            <w:r w:rsidRPr="006E039F">
              <w:rPr>
                <w:rFonts w:ascii="Verdana" w:hAnsi="Verdana" w:cs="Verdana"/>
                <w:color w:val="auto"/>
                <w:sz w:val="21"/>
                <w:szCs w:val="21"/>
              </w:rPr>
              <w:t xml:space="preserve">. You may not use your mobile phone as a calculator. Calculators must not be pre-programmed and the memory must be clear. Sharing of calculators </w:t>
            </w:r>
            <w:proofErr w:type="gramStart"/>
            <w:r w:rsidRPr="006E039F">
              <w:rPr>
                <w:rFonts w:ascii="Verdana" w:hAnsi="Verdana" w:cs="Verdana"/>
                <w:color w:val="auto"/>
                <w:sz w:val="21"/>
                <w:szCs w:val="21"/>
              </w:rPr>
              <w:t>is not permitted</w:t>
            </w:r>
            <w:proofErr w:type="gramEnd"/>
            <w:r w:rsidRPr="006E039F">
              <w:rPr>
                <w:rFonts w:ascii="Verdana" w:hAnsi="Verdana" w:cs="Verdana"/>
                <w:color w:val="auto"/>
                <w:sz w:val="21"/>
                <w:szCs w:val="21"/>
              </w:rPr>
              <w:t>.</w:t>
            </w:r>
          </w:p>
        </w:tc>
      </w:tr>
      <w:tr w:rsidR="00971230" w:rsidRPr="00836594" w:rsidTr="006E039F">
        <w:trPr>
          <w:trHeight w:val="264"/>
        </w:trPr>
        <w:tc>
          <w:tcPr>
            <w:tcW w:w="10455" w:type="dxa"/>
            <w:tcBorders>
              <w:top w:val="single" w:sz="8" w:space="0" w:color="000000"/>
              <w:bottom w:val="single" w:sz="8" w:space="0" w:color="000000"/>
            </w:tcBorders>
          </w:tcPr>
          <w:p w:rsidR="00971230" w:rsidRPr="006E039F" w:rsidRDefault="00971230" w:rsidP="00971230">
            <w:pPr>
              <w:pStyle w:val="Default"/>
              <w:jc w:val="both"/>
              <w:rPr>
                <w:rFonts w:ascii="Verdana" w:hAnsi="Verdana" w:cs="Verdana"/>
                <w:sz w:val="21"/>
                <w:szCs w:val="21"/>
              </w:rPr>
            </w:pPr>
            <w:r w:rsidRPr="006E039F">
              <w:rPr>
                <w:rFonts w:ascii="Verdana" w:hAnsi="Verdana" w:cs="Verdana"/>
                <w:sz w:val="21"/>
                <w:szCs w:val="21"/>
              </w:rPr>
              <w:t xml:space="preserve">Candidates may be allowed to refer to </w:t>
            </w:r>
            <w:proofErr w:type="gramStart"/>
            <w:r w:rsidRPr="006E039F">
              <w:rPr>
                <w:rFonts w:ascii="Verdana" w:hAnsi="Verdana" w:cs="Verdana"/>
                <w:sz w:val="21"/>
                <w:szCs w:val="21"/>
              </w:rPr>
              <w:t>text books</w:t>
            </w:r>
            <w:proofErr w:type="gramEnd"/>
            <w:r w:rsidRPr="006E039F">
              <w:rPr>
                <w:rFonts w:ascii="Verdana" w:hAnsi="Verdana" w:cs="Verdana"/>
                <w:sz w:val="21"/>
                <w:szCs w:val="21"/>
              </w:rPr>
              <w:t xml:space="preserve">, only where instructions in the exam paper allow it. Any books </w:t>
            </w:r>
            <w:proofErr w:type="gramStart"/>
            <w:r w:rsidRPr="006E039F">
              <w:rPr>
                <w:rFonts w:ascii="Verdana" w:hAnsi="Verdana" w:cs="Verdana"/>
                <w:sz w:val="21"/>
                <w:szCs w:val="21"/>
              </w:rPr>
              <w:t>will be checked</w:t>
            </w:r>
            <w:proofErr w:type="gramEnd"/>
            <w:r w:rsidRPr="006E039F">
              <w:rPr>
                <w:rFonts w:ascii="Verdana" w:hAnsi="Verdana" w:cs="Verdana"/>
                <w:sz w:val="21"/>
                <w:szCs w:val="21"/>
              </w:rPr>
              <w:t xml:space="preserve"> prior to the examination for unauthorised materials or notes.</w:t>
            </w:r>
          </w:p>
        </w:tc>
      </w:tr>
      <w:tr w:rsidR="00971230" w:rsidRPr="00836594" w:rsidTr="006E039F">
        <w:trPr>
          <w:trHeight w:val="66"/>
        </w:trPr>
        <w:tc>
          <w:tcPr>
            <w:tcW w:w="10455" w:type="dxa"/>
            <w:tcBorders>
              <w:top w:val="single" w:sz="8" w:space="0" w:color="000000"/>
              <w:bottom w:val="single" w:sz="8" w:space="0" w:color="000000"/>
            </w:tcBorders>
            <w:shd w:val="clear" w:color="auto" w:fill="003265"/>
          </w:tcPr>
          <w:p w:rsidR="00971230" w:rsidRPr="00836594" w:rsidRDefault="00971230" w:rsidP="00971230">
            <w:pPr>
              <w:pStyle w:val="Default"/>
              <w:jc w:val="both"/>
              <w:rPr>
                <w:rFonts w:ascii="Verdana" w:hAnsi="Verdana" w:cs="Verdana"/>
                <w:color w:val="FFFFFF"/>
                <w:sz w:val="20"/>
                <w:szCs w:val="20"/>
              </w:rPr>
            </w:pPr>
            <w:r w:rsidRPr="006E039F">
              <w:rPr>
                <w:rFonts w:ascii="Verdana" w:hAnsi="Verdana" w:cs="Verdana"/>
                <w:b/>
                <w:bCs/>
                <w:color w:val="FFFFFF"/>
                <w:sz w:val="22"/>
                <w:szCs w:val="22"/>
              </w:rPr>
              <w:t>What candidates should NOT bring to the examination</w:t>
            </w:r>
          </w:p>
        </w:tc>
      </w:tr>
      <w:tr w:rsidR="00971230" w:rsidRPr="00E43189" w:rsidTr="006E039F">
        <w:trPr>
          <w:trHeight w:val="264"/>
        </w:trPr>
        <w:tc>
          <w:tcPr>
            <w:tcW w:w="10455" w:type="dxa"/>
            <w:tcBorders>
              <w:top w:val="single" w:sz="8" w:space="0" w:color="000000"/>
              <w:bottom w:val="single" w:sz="8" w:space="0" w:color="000000"/>
            </w:tcBorders>
          </w:tcPr>
          <w:p w:rsidR="00971230" w:rsidRPr="006E039F" w:rsidRDefault="00971230" w:rsidP="00971230">
            <w:pPr>
              <w:jc w:val="both"/>
              <w:rPr>
                <w:rFonts w:ascii="Verdana" w:hAnsi="Verdana" w:cs="Verdana"/>
                <w:sz w:val="21"/>
                <w:szCs w:val="21"/>
              </w:rPr>
            </w:pPr>
            <w:r w:rsidRPr="006E039F">
              <w:rPr>
                <w:rFonts w:ascii="Verdana" w:hAnsi="Verdana" w:cs="Verdana"/>
                <w:sz w:val="21"/>
                <w:szCs w:val="21"/>
              </w:rPr>
              <w:t xml:space="preserve">Food is not permitted, unless candidates have a specific medical </w:t>
            </w:r>
            <w:proofErr w:type="gramStart"/>
            <w:r w:rsidRPr="006E039F">
              <w:rPr>
                <w:rFonts w:ascii="Verdana" w:hAnsi="Verdana" w:cs="Verdana"/>
                <w:sz w:val="21"/>
                <w:szCs w:val="21"/>
              </w:rPr>
              <w:t>condition which</w:t>
            </w:r>
            <w:proofErr w:type="gramEnd"/>
            <w:r w:rsidRPr="006E039F">
              <w:rPr>
                <w:rFonts w:ascii="Verdana" w:hAnsi="Verdana" w:cs="Verdana"/>
                <w:sz w:val="21"/>
                <w:szCs w:val="21"/>
              </w:rPr>
              <w:t xml:space="preserve"> has been outlined on an Action Plan issued by Student Support.</w:t>
            </w:r>
          </w:p>
        </w:tc>
      </w:tr>
      <w:tr w:rsidR="00971230" w:rsidRPr="00E43189" w:rsidTr="00E23AD7">
        <w:trPr>
          <w:trHeight w:val="264"/>
        </w:trPr>
        <w:tc>
          <w:tcPr>
            <w:tcW w:w="10455" w:type="dxa"/>
            <w:tcBorders>
              <w:top w:val="single" w:sz="8" w:space="0" w:color="000000"/>
              <w:bottom w:val="single" w:sz="8" w:space="0" w:color="000000"/>
            </w:tcBorders>
            <w:shd w:val="clear" w:color="auto" w:fill="auto"/>
          </w:tcPr>
          <w:p w:rsidR="00430511" w:rsidRPr="00E23AD7" w:rsidRDefault="00971230" w:rsidP="00430511">
            <w:pPr>
              <w:jc w:val="both"/>
              <w:rPr>
                <w:rFonts w:ascii="Verdana" w:hAnsi="Verdana"/>
                <w:sz w:val="21"/>
                <w:szCs w:val="21"/>
              </w:rPr>
            </w:pPr>
            <w:r w:rsidRPr="00E23AD7">
              <w:rPr>
                <w:rFonts w:ascii="Verdana" w:hAnsi="Verdana"/>
                <w:sz w:val="21"/>
                <w:szCs w:val="21"/>
              </w:rPr>
              <w:t xml:space="preserve">Candidates must </w:t>
            </w:r>
            <w:r w:rsidR="00430511" w:rsidRPr="00E23AD7">
              <w:rPr>
                <w:rFonts w:ascii="Verdana" w:hAnsi="Verdana"/>
                <w:sz w:val="21"/>
                <w:szCs w:val="21"/>
              </w:rPr>
              <w:t xml:space="preserve">switch off their </w:t>
            </w:r>
            <w:r w:rsidRPr="00E23AD7">
              <w:rPr>
                <w:rFonts w:ascii="Verdana" w:hAnsi="Verdana"/>
                <w:sz w:val="21"/>
                <w:szCs w:val="21"/>
              </w:rPr>
              <w:t>mobile phones</w:t>
            </w:r>
            <w:r w:rsidR="00430511" w:rsidRPr="00E23AD7">
              <w:rPr>
                <w:rFonts w:ascii="Verdana" w:hAnsi="Verdana"/>
                <w:sz w:val="21"/>
                <w:szCs w:val="21"/>
              </w:rPr>
              <w:t xml:space="preserve"> and place face up underneath their exam desk.</w:t>
            </w:r>
          </w:p>
          <w:p w:rsidR="00971230" w:rsidRPr="006E039F" w:rsidRDefault="00430511" w:rsidP="00430511">
            <w:pPr>
              <w:jc w:val="both"/>
              <w:rPr>
                <w:rFonts w:ascii="Verdana" w:hAnsi="Verdana" w:cs="Verdana"/>
                <w:sz w:val="21"/>
                <w:szCs w:val="21"/>
              </w:rPr>
            </w:pPr>
            <w:r w:rsidRPr="00E23AD7">
              <w:rPr>
                <w:rFonts w:ascii="Verdana" w:hAnsi="Verdana"/>
                <w:sz w:val="21"/>
                <w:szCs w:val="21"/>
              </w:rPr>
              <w:t>S</w:t>
            </w:r>
            <w:r w:rsidR="00971230" w:rsidRPr="00E23AD7">
              <w:rPr>
                <w:rFonts w:ascii="Verdana" w:hAnsi="Verdana"/>
                <w:sz w:val="21"/>
                <w:szCs w:val="21"/>
              </w:rPr>
              <w:t xml:space="preserve">mart watches or any other electronic devices </w:t>
            </w:r>
            <w:r w:rsidRPr="00E23AD7">
              <w:rPr>
                <w:rFonts w:ascii="Verdana" w:hAnsi="Verdana"/>
                <w:sz w:val="21"/>
                <w:szCs w:val="21"/>
              </w:rPr>
              <w:t xml:space="preserve">should not be </w:t>
            </w:r>
            <w:r w:rsidR="00971230" w:rsidRPr="00E23AD7">
              <w:rPr>
                <w:rFonts w:ascii="Verdana" w:hAnsi="Verdana"/>
                <w:sz w:val="21"/>
                <w:szCs w:val="21"/>
              </w:rPr>
              <w:t>on their person either in the examination room or during any respite break from an examination room.</w:t>
            </w:r>
          </w:p>
        </w:tc>
      </w:tr>
      <w:tr w:rsidR="00971230" w:rsidRPr="00F723CE" w:rsidTr="006E039F">
        <w:trPr>
          <w:trHeight w:val="205"/>
        </w:trPr>
        <w:tc>
          <w:tcPr>
            <w:tcW w:w="10455" w:type="dxa"/>
            <w:tcBorders>
              <w:top w:val="single" w:sz="8" w:space="0" w:color="000000"/>
              <w:bottom w:val="single" w:sz="8" w:space="0" w:color="000000"/>
            </w:tcBorders>
          </w:tcPr>
          <w:p w:rsidR="00971230" w:rsidRPr="006E039F" w:rsidRDefault="00971230" w:rsidP="00971230">
            <w:pPr>
              <w:rPr>
                <w:rFonts w:ascii="Verdana" w:hAnsi="Verdana" w:cs="Verdana"/>
                <w:sz w:val="21"/>
                <w:szCs w:val="21"/>
              </w:rPr>
            </w:pPr>
            <w:r w:rsidRPr="006E039F">
              <w:rPr>
                <w:rFonts w:ascii="Verdana" w:hAnsi="Verdana"/>
                <w:sz w:val="21"/>
                <w:szCs w:val="21"/>
              </w:rPr>
              <w:t xml:space="preserve">Candidates </w:t>
            </w:r>
            <w:proofErr w:type="gramStart"/>
            <w:r w:rsidRPr="006E039F">
              <w:rPr>
                <w:rFonts w:ascii="Verdana" w:hAnsi="Verdana"/>
                <w:sz w:val="21"/>
                <w:szCs w:val="21"/>
              </w:rPr>
              <w:t>are strongly advised</w:t>
            </w:r>
            <w:proofErr w:type="gramEnd"/>
            <w:r w:rsidRPr="006E039F">
              <w:rPr>
                <w:rFonts w:ascii="Verdana" w:hAnsi="Verdana"/>
                <w:sz w:val="21"/>
                <w:szCs w:val="21"/>
              </w:rPr>
              <w:t xml:space="preserve"> not to bring bags, books and other personal belongings into the examination. </w:t>
            </w:r>
            <w:r w:rsidRPr="006E039F">
              <w:rPr>
                <w:rFonts w:ascii="Verdana" w:hAnsi="Verdana" w:cs="Verdana"/>
                <w:sz w:val="21"/>
                <w:szCs w:val="21"/>
              </w:rPr>
              <w:t>If they are brought to the exam they must be left in the area designated by the Invigilator</w:t>
            </w:r>
          </w:p>
        </w:tc>
      </w:tr>
      <w:tr w:rsidR="00971230" w:rsidRPr="00836594" w:rsidTr="006E039F">
        <w:trPr>
          <w:trHeight w:val="264"/>
        </w:trPr>
        <w:tc>
          <w:tcPr>
            <w:tcW w:w="10455" w:type="dxa"/>
            <w:tcBorders>
              <w:top w:val="single" w:sz="8" w:space="0" w:color="000000"/>
              <w:bottom w:val="single" w:sz="8" w:space="0" w:color="000000"/>
            </w:tcBorders>
          </w:tcPr>
          <w:p w:rsidR="00971230" w:rsidRPr="006E039F" w:rsidRDefault="00971230" w:rsidP="00971230">
            <w:pPr>
              <w:jc w:val="both"/>
              <w:rPr>
                <w:rFonts w:ascii="Verdana" w:hAnsi="Verdana" w:cs="Verdana"/>
                <w:sz w:val="21"/>
                <w:szCs w:val="21"/>
              </w:rPr>
            </w:pPr>
            <w:r w:rsidRPr="006E039F">
              <w:rPr>
                <w:rFonts w:ascii="Verdana" w:hAnsi="Verdana" w:cs="Verdana"/>
                <w:sz w:val="21"/>
                <w:szCs w:val="21"/>
              </w:rPr>
              <w:t xml:space="preserve">The use of dictionaries </w:t>
            </w:r>
            <w:proofErr w:type="gramStart"/>
            <w:r w:rsidRPr="006E039F">
              <w:rPr>
                <w:rFonts w:ascii="Verdana" w:hAnsi="Verdana" w:cs="Verdana"/>
                <w:sz w:val="21"/>
                <w:szCs w:val="21"/>
              </w:rPr>
              <w:t>is prohibited</w:t>
            </w:r>
            <w:proofErr w:type="gramEnd"/>
            <w:r w:rsidRPr="006E039F">
              <w:rPr>
                <w:rFonts w:ascii="Verdana" w:hAnsi="Verdana" w:cs="Verdana"/>
                <w:sz w:val="21"/>
                <w:szCs w:val="21"/>
              </w:rPr>
              <w:t xml:space="preserve"> in examinations.</w:t>
            </w:r>
            <w:r w:rsidR="00876705" w:rsidRPr="006E039F">
              <w:rPr>
                <w:rFonts w:ascii="Verdana" w:hAnsi="Verdana" w:cs="Verdana"/>
                <w:sz w:val="21"/>
                <w:szCs w:val="21"/>
              </w:rPr>
              <w:t xml:space="preserve"> </w:t>
            </w:r>
            <w:r w:rsidRPr="006E039F">
              <w:rPr>
                <w:rFonts w:ascii="Verdana" w:hAnsi="Verdana" w:cs="Verdana"/>
                <w:sz w:val="21"/>
                <w:szCs w:val="21"/>
              </w:rPr>
              <w:t xml:space="preserve">Bilingual dictionaries </w:t>
            </w:r>
            <w:proofErr w:type="gramStart"/>
            <w:r w:rsidRPr="006E039F">
              <w:rPr>
                <w:rFonts w:ascii="Verdana" w:hAnsi="Verdana" w:cs="Verdana"/>
                <w:sz w:val="21"/>
                <w:szCs w:val="21"/>
              </w:rPr>
              <w:t>may only be allowed</w:t>
            </w:r>
            <w:proofErr w:type="gramEnd"/>
            <w:r w:rsidRPr="006E039F">
              <w:rPr>
                <w:rFonts w:ascii="Verdana" w:hAnsi="Verdana" w:cs="Verdana"/>
                <w:sz w:val="21"/>
                <w:szCs w:val="21"/>
              </w:rPr>
              <w:t xml:space="preserve"> in modern language examinations where the question paper specifies it.</w:t>
            </w:r>
          </w:p>
        </w:tc>
      </w:tr>
      <w:tr w:rsidR="00971230" w:rsidRPr="00836594" w:rsidTr="006E039F">
        <w:trPr>
          <w:trHeight w:val="66"/>
        </w:trPr>
        <w:tc>
          <w:tcPr>
            <w:tcW w:w="10455" w:type="dxa"/>
            <w:tcBorders>
              <w:top w:val="single" w:sz="8" w:space="0" w:color="000000"/>
              <w:bottom w:val="single" w:sz="8" w:space="0" w:color="000000"/>
            </w:tcBorders>
            <w:shd w:val="clear" w:color="auto" w:fill="003265"/>
          </w:tcPr>
          <w:p w:rsidR="00971230" w:rsidRPr="006E039F" w:rsidRDefault="00971230" w:rsidP="00971230">
            <w:pPr>
              <w:pStyle w:val="Default"/>
              <w:jc w:val="both"/>
              <w:rPr>
                <w:rFonts w:ascii="Verdana" w:hAnsi="Verdana" w:cs="Verdana"/>
                <w:color w:val="FFFFFF"/>
                <w:sz w:val="22"/>
                <w:szCs w:val="22"/>
              </w:rPr>
            </w:pPr>
            <w:r w:rsidRPr="006E039F">
              <w:rPr>
                <w:rFonts w:ascii="Verdana" w:hAnsi="Verdana" w:cs="Verdana"/>
                <w:b/>
                <w:bCs/>
                <w:color w:val="FFFFFF"/>
                <w:sz w:val="22"/>
                <w:szCs w:val="22"/>
              </w:rPr>
              <w:t xml:space="preserve">During the examination </w:t>
            </w:r>
          </w:p>
        </w:tc>
      </w:tr>
      <w:tr w:rsidR="00971230" w:rsidRPr="00836594" w:rsidTr="006E039F">
        <w:trPr>
          <w:trHeight w:val="132"/>
        </w:trPr>
        <w:tc>
          <w:tcPr>
            <w:tcW w:w="10455" w:type="dxa"/>
            <w:tcBorders>
              <w:top w:val="single" w:sz="8" w:space="0" w:color="000000"/>
              <w:bottom w:val="single" w:sz="8" w:space="0" w:color="000000"/>
            </w:tcBorders>
          </w:tcPr>
          <w:p w:rsidR="00971230" w:rsidRPr="006E039F" w:rsidRDefault="00971230" w:rsidP="00971230">
            <w:pPr>
              <w:pStyle w:val="Default"/>
              <w:jc w:val="both"/>
              <w:rPr>
                <w:rFonts w:ascii="Verdana" w:hAnsi="Verdana" w:cs="Verdana"/>
                <w:sz w:val="21"/>
                <w:szCs w:val="21"/>
              </w:rPr>
            </w:pPr>
            <w:r w:rsidRPr="006E039F">
              <w:rPr>
                <w:rFonts w:ascii="Verdana" w:hAnsi="Verdana" w:cs="Verdana"/>
                <w:sz w:val="21"/>
                <w:szCs w:val="21"/>
              </w:rPr>
              <w:t>Candidates should read all instructions at the start of the examination question paper thoroughly before commencing work.</w:t>
            </w:r>
          </w:p>
        </w:tc>
      </w:tr>
      <w:tr w:rsidR="00971230" w:rsidRPr="00836594" w:rsidTr="006E039F">
        <w:trPr>
          <w:trHeight w:val="198"/>
        </w:trPr>
        <w:tc>
          <w:tcPr>
            <w:tcW w:w="10455" w:type="dxa"/>
            <w:tcBorders>
              <w:top w:val="single" w:sz="8" w:space="0" w:color="000000"/>
              <w:bottom w:val="single" w:sz="8" w:space="0" w:color="000000"/>
            </w:tcBorders>
          </w:tcPr>
          <w:p w:rsidR="00971230" w:rsidRPr="006E039F" w:rsidRDefault="00971230" w:rsidP="00971230">
            <w:pPr>
              <w:pStyle w:val="Default"/>
              <w:jc w:val="both"/>
              <w:rPr>
                <w:rFonts w:ascii="Verdana" w:hAnsi="Verdana" w:cs="Verdana"/>
                <w:sz w:val="21"/>
                <w:szCs w:val="21"/>
              </w:rPr>
            </w:pPr>
            <w:r w:rsidRPr="006E039F">
              <w:rPr>
                <w:rFonts w:ascii="Verdana" w:hAnsi="Verdana" w:cs="Verdana"/>
                <w:sz w:val="21"/>
                <w:szCs w:val="21"/>
              </w:rPr>
              <w:t xml:space="preserve">Where reading time </w:t>
            </w:r>
            <w:proofErr w:type="gramStart"/>
            <w:r w:rsidRPr="006E039F">
              <w:rPr>
                <w:rFonts w:ascii="Verdana" w:hAnsi="Verdana" w:cs="Verdana"/>
                <w:sz w:val="21"/>
                <w:szCs w:val="21"/>
              </w:rPr>
              <w:t>is allowed</w:t>
            </w:r>
            <w:proofErr w:type="gramEnd"/>
            <w:r w:rsidRPr="006E039F">
              <w:rPr>
                <w:rFonts w:ascii="Verdana" w:hAnsi="Verdana" w:cs="Verdana"/>
                <w:sz w:val="21"/>
                <w:szCs w:val="21"/>
              </w:rPr>
              <w:t xml:space="preserve"> for an examination, the Invigilator will announce the commencement and completion of this period. Candidates </w:t>
            </w:r>
            <w:proofErr w:type="gramStart"/>
            <w:r w:rsidRPr="006E039F">
              <w:rPr>
                <w:rFonts w:ascii="Verdana" w:hAnsi="Verdana" w:cs="Verdana"/>
                <w:sz w:val="21"/>
                <w:szCs w:val="21"/>
              </w:rPr>
              <w:t>are not allowed</w:t>
            </w:r>
            <w:proofErr w:type="gramEnd"/>
            <w:r w:rsidRPr="006E039F">
              <w:rPr>
                <w:rFonts w:ascii="Verdana" w:hAnsi="Verdana" w:cs="Verdana"/>
                <w:sz w:val="21"/>
                <w:szCs w:val="21"/>
              </w:rPr>
              <w:t xml:space="preserve"> to write, highlight, underline or make notes during this period</w:t>
            </w:r>
            <w:r w:rsidR="00BF2EA2">
              <w:rPr>
                <w:rFonts w:ascii="Verdana" w:hAnsi="Verdana" w:cs="Verdana"/>
                <w:sz w:val="21"/>
                <w:szCs w:val="21"/>
              </w:rPr>
              <w:t xml:space="preserve"> unless stated otherwise on the exam paper</w:t>
            </w:r>
            <w:r w:rsidRPr="006E039F">
              <w:rPr>
                <w:rFonts w:ascii="Verdana" w:hAnsi="Verdana" w:cs="Verdana"/>
                <w:sz w:val="21"/>
                <w:szCs w:val="21"/>
              </w:rPr>
              <w:t>.</w:t>
            </w:r>
          </w:p>
        </w:tc>
      </w:tr>
      <w:tr w:rsidR="00971230" w:rsidRPr="00836594" w:rsidTr="006E039F">
        <w:trPr>
          <w:trHeight w:val="198"/>
        </w:trPr>
        <w:tc>
          <w:tcPr>
            <w:tcW w:w="10455" w:type="dxa"/>
            <w:tcBorders>
              <w:top w:val="single" w:sz="8" w:space="0" w:color="000000"/>
              <w:bottom w:val="single" w:sz="8" w:space="0" w:color="000000"/>
            </w:tcBorders>
          </w:tcPr>
          <w:p w:rsidR="00971230" w:rsidRPr="006E039F" w:rsidRDefault="00971230" w:rsidP="00971230">
            <w:pPr>
              <w:pStyle w:val="Default"/>
              <w:jc w:val="both"/>
              <w:rPr>
                <w:rFonts w:ascii="Verdana" w:hAnsi="Verdana" w:cs="Verdana"/>
                <w:sz w:val="21"/>
                <w:szCs w:val="21"/>
              </w:rPr>
            </w:pPr>
            <w:r w:rsidRPr="006E039F">
              <w:rPr>
                <w:rFonts w:ascii="Verdana" w:hAnsi="Verdana" w:cs="Verdana"/>
                <w:sz w:val="21"/>
                <w:szCs w:val="21"/>
              </w:rPr>
              <w:t xml:space="preserve">All rough work </w:t>
            </w:r>
            <w:proofErr w:type="gramStart"/>
            <w:r w:rsidRPr="006E039F">
              <w:rPr>
                <w:rFonts w:ascii="Verdana" w:hAnsi="Verdana" w:cs="Verdana"/>
                <w:sz w:val="21"/>
                <w:szCs w:val="21"/>
              </w:rPr>
              <w:t>must be completed in the answer book and crossed out</w:t>
            </w:r>
            <w:proofErr w:type="gramEnd"/>
            <w:r w:rsidRPr="006E039F">
              <w:rPr>
                <w:rFonts w:ascii="Verdana" w:hAnsi="Verdana" w:cs="Verdana"/>
                <w:sz w:val="21"/>
                <w:szCs w:val="21"/>
              </w:rPr>
              <w:t xml:space="preserve">. Pages </w:t>
            </w:r>
            <w:proofErr w:type="gramStart"/>
            <w:r w:rsidRPr="006E039F">
              <w:rPr>
                <w:rFonts w:ascii="Verdana" w:hAnsi="Verdana" w:cs="Verdana"/>
                <w:sz w:val="21"/>
                <w:szCs w:val="21"/>
              </w:rPr>
              <w:t>must not be torn</w:t>
            </w:r>
            <w:proofErr w:type="gramEnd"/>
            <w:r w:rsidRPr="006E039F">
              <w:rPr>
                <w:rFonts w:ascii="Verdana" w:hAnsi="Verdana" w:cs="Verdana"/>
                <w:sz w:val="21"/>
                <w:szCs w:val="21"/>
              </w:rPr>
              <w:t xml:space="preserve"> from answer books to use for rough notes. </w:t>
            </w:r>
          </w:p>
        </w:tc>
      </w:tr>
      <w:tr w:rsidR="00971230" w:rsidRPr="00836594" w:rsidTr="006E039F">
        <w:trPr>
          <w:trHeight w:val="132"/>
        </w:trPr>
        <w:tc>
          <w:tcPr>
            <w:tcW w:w="10455" w:type="dxa"/>
            <w:tcBorders>
              <w:top w:val="single" w:sz="8" w:space="0" w:color="000000"/>
              <w:bottom w:val="single" w:sz="8" w:space="0" w:color="000000"/>
            </w:tcBorders>
          </w:tcPr>
          <w:p w:rsidR="00971230" w:rsidRPr="006E039F" w:rsidRDefault="00971230" w:rsidP="00971230">
            <w:pPr>
              <w:pStyle w:val="Default"/>
              <w:jc w:val="both"/>
              <w:rPr>
                <w:rFonts w:ascii="Verdana" w:hAnsi="Verdana" w:cs="Verdana"/>
                <w:sz w:val="21"/>
                <w:szCs w:val="21"/>
              </w:rPr>
            </w:pPr>
            <w:r w:rsidRPr="006E039F">
              <w:rPr>
                <w:rFonts w:ascii="Verdana" w:hAnsi="Verdana" w:cs="Verdana"/>
                <w:sz w:val="21"/>
                <w:szCs w:val="21"/>
              </w:rPr>
              <w:t>Candidates that have a question must attract the attention of the Invigilator by raising a hand.</w:t>
            </w:r>
          </w:p>
        </w:tc>
      </w:tr>
      <w:tr w:rsidR="00971230" w:rsidRPr="00836594" w:rsidTr="006E039F">
        <w:trPr>
          <w:trHeight w:val="132"/>
        </w:trPr>
        <w:tc>
          <w:tcPr>
            <w:tcW w:w="10455" w:type="dxa"/>
            <w:tcBorders>
              <w:top w:val="single" w:sz="8" w:space="0" w:color="000000"/>
              <w:bottom w:val="single" w:sz="8" w:space="0" w:color="000000"/>
            </w:tcBorders>
          </w:tcPr>
          <w:p w:rsidR="00971230" w:rsidRDefault="00971230" w:rsidP="00297C1D">
            <w:pPr>
              <w:pStyle w:val="Default"/>
              <w:jc w:val="both"/>
              <w:rPr>
                <w:rFonts w:ascii="Verdana" w:hAnsi="Verdana" w:cs="Verdana"/>
                <w:sz w:val="21"/>
                <w:szCs w:val="21"/>
              </w:rPr>
            </w:pPr>
            <w:r w:rsidRPr="006E039F">
              <w:rPr>
                <w:rFonts w:ascii="Verdana" w:hAnsi="Verdana" w:cs="Verdana"/>
                <w:sz w:val="21"/>
                <w:szCs w:val="21"/>
              </w:rPr>
              <w:t xml:space="preserve">If you wish to leave the examination before the specified finish time, you must raise your hand and wait until </w:t>
            </w:r>
            <w:r w:rsidR="00887852">
              <w:rPr>
                <w:rFonts w:ascii="Verdana" w:hAnsi="Verdana" w:cs="Verdana"/>
                <w:sz w:val="21"/>
                <w:szCs w:val="21"/>
              </w:rPr>
              <w:t>an</w:t>
            </w:r>
            <w:r w:rsidRPr="006E039F">
              <w:rPr>
                <w:rFonts w:ascii="Verdana" w:hAnsi="Verdana" w:cs="Verdana"/>
                <w:sz w:val="21"/>
                <w:szCs w:val="21"/>
              </w:rPr>
              <w:t xml:space="preserve"> Invigilator has collected your completed script. </w:t>
            </w:r>
            <w:r w:rsidR="00887852">
              <w:rPr>
                <w:rFonts w:ascii="Verdana" w:hAnsi="Verdana" w:cs="Verdana"/>
                <w:sz w:val="21"/>
                <w:szCs w:val="21"/>
              </w:rPr>
              <w:t>I</w:t>
            </w:r>
            <w:r w:rsidR="00BF2EA2">
              <w:rPr>
                <w:rFonts w:ascii="Verdana" w:hAnsi="Verdana" w:cs="Verdana"/>
                <w:sz w:val="21"/>
                <w:szCs w:val="21"/>
              </w:rPr>
              <w:t xml:space="preserve">f you </w:t>
            </w:r>
            <w:r w:rsidR="00887852">
              <w:rPr>
                <w:rFonts w:ascii="Verdana" w:hAnsi="Verdana" w:cs="Verdana"/>
                <w:sz w:val="21"/>
                <w:szCs w:val="21"/>
              </w:rPr>
              <w:t xml:space="preserve">want to leave </w:t>
            </w:r>
            <w:r w:rsidR="00BF2EA2">
              <w:rPr>
                <w:rFonts w:ascii="Verdana" w:hAnsi="Verdana" w:cs="Verdana"/>
                <w:sz w:val="21"/>
                <w:szCs w:val="21"/>
              </w:rPr>
              <w:t>within the last 15 minutes of an exam</w:t>
            </w:r>
            <w:r w:rsidR="00887852">
              <w:rPr>
                <w:rFonts w:ascii="Verdana" w:hAnsi="Verdana" w:cs="Verdana"/>
                <w:sz w:val="21"/>
                <w:szCs w:val="21"/>
              </w:rPr>
              <w:t xml:space="preserve">, you </w:t>
            </w:r>
            <w:proofErr w:type="gramStart"/>
            <w:r w:rsidR="00887852">
              <w:rPr>
                <w:rFonts w:ascii="Verdana" w:hAnsi="Verdana" w:cs="Verdana"/>
                <w:sz w:val="21"/>
                <w:szCs w:val="21"/>
              </w:rPr>
              <w:t>may be asked</w:t>
            </w:r>
            <w:proofErr w:type="gramEnd"/>
            <w:r w:rsidR="00887852">
              <w:rPr>
                <w:rFonts w:ascii="Verdana" w:hAnsi="Verdana" w:cs="Verdana"/>
                <w:sz w:val="21"/>
                <w:szCs w:val="21"/>
              </w:rPr>
              <w:t xml:space="preserve"> to stay seated.</w:t>
            </w:r>
            <w:r w:rsidR="00BF2EA2">
              <w:rPr>
                <w:rFonts w:ascii="Verdana" w:hAnsi="Verdana" w:cs="Verdana"/>
                <w:sz w:val="21"/>
                <w:szCs w:val="21"/>
              </w:rPr>
              <w:t xml:space="preserve"> This is up to the Lead Invigilators discretion </w:t>
            </w:r>
            <w:r w:rsidR="00297C1D">
              <w:rPr>
                <w:rFonts w:ascii="Verdana" w:hAnsi="Verdana" w:cs="Verdana"/>
                <w:sz w:val="21"/>
                <w:szCs w:val="21"/>
              </w:rPr>
              <w:t xml:space="preserve">taking into consideration </w:t>
            </w:r>
            <w:r w:rsidR="00BF2EA2">
              <w:rPr>
                <w:rFonts w:ascii="Verdana" w:hAnsi="Verdana" w:cs="Verdana"/>
                <w:sz w:val="21"/>
                <w:szCs w:val="21"/>
              </w:rPr>
              <w:t>the amount of exams and students within the venue.</w:t>
            </w:r>
          </w:p>
          <w:p w:rsidR="00415221" w:rsidRDefault="00415221" w:rsidP="00297C1D">
            <w:pPr>
              <w:pStyle w:val="Default"/>
              <w:jc w:val="both"/>
              <w:rPr>
                <w:rFonts w:ascii="Verdana" w:hAnsi="Verdana" w:cs="Verdana"/>
                <w:sz w:val="21"/>
                <w:szCs w:val="21"/>
              </w:rPr>
            </w:pPr>
          </w:p>
          <w:p w:rsidR="00415221" w:rsidRDefault="00415221" w:rsidP="00297C1D">
            <w:pPr>
              <w:pStyle w:val="Default"/>
              <w:jc w:val="both"/>
              <w:rPr>
                <w:rFonts w:ascii="Verdana" w:hAnsi="Verdana" w:cs="Verdana"/>
                <w:sz w:val="21"/>
                <w:szCs w:val="21"/>
              </w:rPr>
            </w:pPr>
          </w:p>
          <w:p w:rsidR="00415221" w:rsidRDefault="00415221" w:rsidP="00297C1D">
            <w:pPr>
              <w:pStyle w:val="Default"/>
              <w:jc w:val="both"/>
              <w:rPr>
                <w:rFonts w:ascii="Verdana" w:hAnsi="Verdana" w:cs="Verdana"/>
                <w:sz w:val="21"/>
                <w:szCs w:val="21"/>
              </w:rPr>
            </w:pPr>
          </w:p>
          <w:p w:rsidR="00415221" w:rsidRDefault="00415221" w:rsidP="00297C1D">
            <w:pPr>
              <w:pStyle w:val="Default"/>
              <w:jc w:val="both"/>
              <w:rPr>
                <w:rFonts w:ascii="Verdana" w:hAnsi="Verdana" w:cs="Verdana"/>
                <w:sz w:val="21"/>
                <w:szCs w:val="21"/>
              </w:rPr>
            </w:pPr>
          </w:p>
          <w:p w:rsidR="00415221" w:rsidRDefault="00415221" w:rsidP="00297C1D">
            <w:pPr>
              <w:pStyle w:val="Default"/>
              <w:jc w:val="both"/>
              <w:rPr>
                <w:rFonts w:ascii="Verdana" w:hAnsi="Verdana" w:cs="Verdana"/>
                <w:sz w:val="21"/>
                <w:szCs w:val="21"/>
              </w:rPr>
            </w:pPr>
          </w:p>
          <w:p w:rsidR="00415221" w:rsidRDefault="00415221" w:rsidP="00297C1D">
            <w:pPr>
              <w:pStyle w:val="Default"/>
              <w:jc w:val="both"/>
              <w:rPr>
                <w:rFonts w:ascii="Verdana" w:hAnsi="Verdana" w:cs="Verdana"/>
                <w:sz w:val="21"/>
                <w:szCs w:val="21"/>
              </w:rPr>
            </w:pPr>
          </w:p>
          <w:p w:rsidR="00415221" w:rsidRPr="006E039F" w:rsidRDefault="00415221" w:rsidP="00297C1D">
            <w:pPr>
              <w:pStyle w:val="Default"/>
              <w:jc w:val="both"/>
              <w:rPr>
                <w:rFonts w:ascii="Verdana" w:hAnsi="Verdana" w:cs="Verdana"/>
                <w:sz w:val="21"/>
                <w:szCs w:val="21"/>
              </w:rPr>
            </w:pPr>
          </w:p>
        </w:tc>
      </w:tr>
      <w:tr w:rsidR="00971230" w:rsidRPr="00836594" w:rsidTr="006E039F">
        <w:trPr>
          <w:trHeight w:val="66"/>
        </w:trPr>
        <w:tc>
          <w:tcPr>
            <w:tcW w:w="10455" w:type="dxa"/>
            <w:tcBorders>
              <w:top w:val="single" w:sz="8" w:space="0" w:color="000000"/>
              <w:bottom w:val="single" w:sz="8" w:space="0" w:color="000000"/>
            </w:tcBorders>
            <w:shd w:val="clear" w:color="auto" w:fill="003265"/>
          </w:tcPr>
          <w:p w:rsidR="00971230" w:rsidRPr="00836594" w:rsidRDefault="00971230" w:rsidP="00971230">
            <w:pPr>
              <w:jc w:val="both"/>
              <w:rPr>
                <w:rFonts w:ascii="Verdana" w:hAnsi="Verdana" w:cs="Verdana"/>
                <w:color w:val="FFFFFF"/>
                <w:sz w:val="20"/>
              </w:rPr>
            </w:pPr>
            <w:r w:rsidRPr="006E039F">
              <w:rPr>
                <w:rFonts w:ascii="Verdana" w:hAnsi="Verdana" w:cs="Verdana"/>
                <w:b/>
                <w:bCs/>
                <w:color w:val="FFFFFF"/>
                <w:sz w:val="22"/>
                <w:szCs w:val="22"/>
              </w:rPr>
              <w:lastRenderedPageBreak/>
              <w:t>Examination Misconduct and Irregularities</w:t>
            </w:r>
          </w:p>
        </w:tc>
      </w:tr>
      <w:tr w:rsidR="00971230" w:rsidRPr="00836594" w:rsidTr="006E039F">
        <w:trPr>
          <w:trHeight w:val="198"/>
        </w:trPr>
        <w:tc>
          <w:tcPr>
            <w:tcW w:w="10455" w:type="dxa"/>
            <w:tcBorders>
              <w:top w:val="single" w:sz="8" w:space="0" w:color="000000"/>
              <w:bottom w:val="single" w:sz="8" w:space="0" w:color="000000"/>
            </w:tcBorders>
          </w:tcPr>
          <w:p w:rsidR="00971230" w:rsidRPr="006E039F" w:rsidRDefault="00971230" w:rsidP="00971230">
            <w:pPr>
              <w:pStyle w:val="Default"/>
              <w:jc w:val="both"/>
              <w:rPr>
                <w:rFonts w:ascii="Verdana" w:hAnsi="Verdana" w:cs="Verdana"/>
                <w:sz w:val="21"/>
                <w:szCs w:val="21"/>
              </w:rPr>
            </w:pPr>
            <w:r w:rsidRPr="006E039F">
              <w:rPr>
                <w:rFonts w:ascii="Verdana" w:hAnsi="Verdana" w:cs="Verdana"/>
                <w:sz w:val="21"/>
                <w:szCs w:val="21"/>
              </w:rPr>
              <w:t>Academic misconduct in examinations includes but is not limited to the following:</w:t>
            </w:r>
          </w:p>
          <w:p w:rsidR="00971230" w:rsidRPr="006E039F" w:rsidRDefault="00971230" w:rsidP="00971230">
            <w:pPr>
              <w:pStyle w:val="Default"/>
              <w:jc w:val="both"/>
              <w:rPr>
                <w:rFonts w:ascii="Verdana" w:hAnsi="Verdana" w:cs="Verdana"/>
                <w:sz w:val="21"/>
                <w:szCs w:val="21"/>
              </w:rPr>
            </w:pPr>
            <w:r w:rsidRPr="006E039F">
              <w:rPr>
                <w:rFonts w:ascii="Verdana" w:hAnsi="Verdana" w:cs="Verdana"/>
                <w:sz w:val="21"/>
                <w:szCs w:val="21"/>
              </w:rPr>
              <w:t>Communicating with another candidate by oral, electronic or written means;</w:t>
            </w:r>
          </w:p>
          <w:p w:rsidR="00971230" w:rsidRPr="006E039F" w:rsidRDefault="00971230" w:rsidP="00971230">
            <w:pPr>
              <w:pStyle w:val="Default"/>
              <w:jc w:val="both"/>
              <w:rPr>
                <w:rFonts w:ascii="Verdana" w:hAnsi="Verdana" w:cs="Verdana"/>
                <w:sz w:val="21"/>
                <w:szCs w:val="21"/>
              </w:rPr>
            </w:pPr>
            <w:r w:rsidRPr="006E039F">
              <w:rPr>
                <w:rFonts w:ascii="Verdana" w:hAnsi="Verdana" w:cs="Verdana"/>
                <w:sz w:val="21"/>
                <w:szCs w:val="21"/>
              </w:rPr>
              <w:t>Copying from another candidate;</w:t>
            </w:r>
          </w:p>
          <w:p w:rsidR="00971230" w:rsidRPr="006E039F" w:rsidRDefault="00971230" w:rsidP="00971230">
            <w:pPr>
              <w:pStyle w:val="Default"/>
              <w:jc w:val="both"/>
              <w:rPr>
                <w:rFonts w:ascii="Verdana" w:hAnsi="Verdana" w:cs="Verdana"/>
                <w:sz w:val="21"/>
                <w:szCs w:val="21"/>
              </w:rPr>
            </w:pPr>
            <w:r w:rsidRPr="006E039F">
              <w:rPr>
                <w:rFonts w:ascii="Verdana" w:hAnsi="Verdana" w:cs="Verdana"/>
                <w:sz w:val="21"/>
                <w:szCs w:val="21"/>
              </w:rPr>
              <w:t>Introducing any written or printed materials into the examination unless expressly permitted by the Examination Board or programme regulations;</w:t>
            </w:r>
          </w:p>
          <w:p w:rsidR="00971230" w:rsidRPr="006E039F" w:rsidRDefault="00971230" w:rsidP="00971230">
            <w:pPr>
              <w:pStyle w:val="Default"/>
              <w:jc w:val="both"/>
              <w:rPr>
                <w:rFonts w:ascii="Verdana" w:hAnsi="Verdana" w:cs="Verdana"/>
                <w:sz w:val="21"/>
                <w:szCs w:val="21"/>
              </w:rPr>
            </w:pPr>
            <w:r w:rsidRPr="006E039F">
              <w:rPr>
                <w:rFonts w:ascii="Verdana" w:hAnsi="Verdana" w:cs="Verdana"/>
                <w:sz w:val="21"/>
                <w:szCs w:val="21"/>
              </w:rPr>
              <w:t>Introducing any electronically stored information unless expressly permitted by the Examination Board or programme regulations.</w:t>
            </w:r>
          </w:p>
        </w:tc>
      </w:tr>
      <w:tr w:rsidR="00971230" w:rsidRPr="00836594" w:rsidTr="006E039F">
        <w:trPr>
          <w:trHeight w:val="132"/>
        </w:trPr>
        <w:tc>
          <w:tcPr>
            <w:tcW w:w="10455" w:type="dxa"/>
            <w:tcBorders>
              <w:top w:val="single" w:sz="8" w:space="0" w:color="000000"/>
              <w:bottom w:val="single" w:sz="8" w:space="0" w:color="000000"/>
            </w:tcBorders>
          </w:tcPr>
          <w:p w:rsidR="00971230" w:rsidRPr="006E039F" w:rsidRDefault="00971230" w:rsidP="00971230">
            <w:pPr>
              <w:pStyle w:val="Default"/>
              <w:jc w:val="both"/>
              <w:rPr>
                <w:rFonts w:ascii="Verdana" w:hAnsi="Verdana" w:cs="Verdana"/>
                <w:sz w:val="21"/>
                <w:szCs w:val="21"/>
              </w:rPr>
            </w:pPr>
            <w:r w:rsidRPr="006E039F">
              <w:rPr>
                <w:rFonts w:ascii="Verdana" w:hAnsi="Verdana" w:cs="Verdana"/>
                <w:sz w:val="21"/>
                <w:szCs w:val="21"/>
              </w:rPr>
              <w:t xml:space="preserve">Any action by a candidate contrary to the letter or spirit of these regulations, whether </w:t>
            </w:r>
            <w:proofErr w:type="gramStart"/>
            <w:r w:rsidRPr="006E039F">
              <w:rPr>
                <w:rFonts w:ascii="Verdana" w:hAnsi="Verdana" w:cs="Verdana"/>
                <w:sz w:val="21"/>
                <w:szCs w:val="21"/>
              </w:rPr>
              <w:t>discovered</w:t>
            </w:r>
            <w:proofErr w:type="gramEnd"/>
            <w:r w:rsidRPr="006E039F">
              <w:rPr>
                <w:rFonts w:ascii="Verdana" w:hAnsi="Verdana" w:cs="Verdana"/>
                <w:sz w:val="21"/>
                <w:szCs w:val="21"/>
              </w:rPr>
              <w:t xml:space="preserve"> during the examination or afterwards, may result in disqualification. </w:t>
            </w:r>
          </w:p>
        </w:tc>
      </w:tr>
      <w:tr w:rsidR="00971230" w:rsidRPr="00836594" w:rsidTr="006E039F">
        <w:trPr>
          <w:trHeight w:val="66"/>
        </w:trPr>
        <w:tc>
          <w:tcPr>
            <w:tcW w:w="10455" w:type="dxa"/>
            <w:tcBorders>
              <w:top w:val="single" w:sz="8" w:space="0" w:color="000000"/>
              <w:bottom w:val="single" w:sz="8" w:space="0" w:color="000000"/>
            </w:tcBorders>
            <w:shd w:val="clear" w:color="auto" w:fill="003265"/>
          </w:tcPr>
          <w:p w:rsidR="00971230" w:rsidRPr="00836594" w:rsidRDefault="00971230" w:rsidP="00971230">
            <w:pPr>
              <w:pStyle w:val="Default"/>
              <w:jc w:val="both"/>
              <w:rPr>
                <w:rFonts w:ascii="Verdana" w:hAnsi="Verdana" w:cs="Verdana"/>
                <w:color w:val="FFFFFF"/>
                <w:sz w:val="20"/>
                <w:szCs w:val="20"/>
              </w:rPr>
            </w:pPr>
            <w:r w:rsidRPr="006E039F">
              <w:rPr>
                <w:rFonts w:ascii="Verdana" w:hAnsi="Verdana" w:cs="Verdana"/>
                <w:b/>
                <w:bCs/>
                <w:color w:val="FFFFFF"/>
                <w:sz w:val="22"/>
                <w:szCs w:val="22"/>
              </w:rPr>
              <w:t xml:space="preserve">At the end of the exam </w:t>
            </w:r>
          </w:p>
        </w:tc>
      </w:tr>
      <w:tr w:rsidR="00971230" w:rsidRPr="00836594" w:rsidTr="006E039F">
        <w:trPr>
          <w:trHeight w:val="32"/>
        </w:trPr>
        <w:tc>
          <w:tcPr>
            <w:tcW w:w="10455" w:type="dxa"/>
            <w:tcBorders>
              <w:top w:val="single" w:sz="8" w:space="0" w:color="000000"/>
              <w:bottom w:val="single" w:sz="8" w:space="0" w:color="000000"/>
            </w:tcBorders>
          </w:tcPr>
          <w:p w:rsidR="00971230" w:rsidRPr="006E039F" w:rsidRDefault="00971230" w:rsidP="00971230">
            <w:pPr>
              <w:pStyle w:val="Default"/>
              <w:jc w:val="both"/>
              <w:rPr>
                <w:rFonts w:ascii="Verdana" w:hAnsi="Verdana" w:cs="Verdana"/>
                <w:sz w:val="21"/>
                <w:szCs w:val="21"/>
              </w:rPr>
            </w:pPr>
            <w:r w:rsidRPr="006E039F">
              <w:rPr>
                <w:rFonts w:ascii="Verdana" w:hAnsi="Verdana" w:cs="Verdana"/>
                <w:sz w:val="21"/>
                <w:szCs w:val="21"/>
              </w:rPr>
              <w:t xml:space="preserve">Candidates must ensure that any loose sheets </w:t>
            </w:r>
            <w:proofErr w:type="gramStart"/>
            <w:r w:rsidRPr="006E039F">
              <w:rPr>
                <w:rFonts w:ascii="Verdana" w:hAnsi="Verdana" w:cs="Verdana"/>
                <w:sz w:val="21"/>
                <w:szCs w:val="21"/>
              </w:rPr>
              <w:t>are securely fixed</w:t>
            </w:r>
            <w:proofErr w:type="gramEnd"/>
            <w:r w:rsidRPr="006E039F">
              <w:rPr>
                <w:rFonts w:ascii="Verdana" w:hAnsi="Verdana" w:cs="Verdana"/>
                <w:sz w:val="21"/>
                <w:szCs w:val="21"/>
              </w:rPr>
              <w:t xml:space="preserve"> to the answer book using the tags provided. Drawings </w:t>
            </w:r>
            <w:proofErr w:type="gramStart"/>
            <w:r w:rsidRPr="006E039F">
              <w:rPr>
                <w:rFonts w:ascii="Verdana" w:hAnsi="Verdana" w:cs="Verdana"/>
                <w:sz w:val="21"/>
                <w:szCs w:val="21"/>
              </w:rPr>
              <w:t>may be folded</w:t>
            </w:r>
            <w:proofErr w:type="gramEnd"/>
            <w:r w:rsidRPr="006E039F">
              <w:rPr>
                <w:rFonts w:ascii="Verdana" w:hAnsi="Verdana" w:cs="Verdana"/>
                <w:sz w:val="21"/>
                <w:szCs w:val="21"/>
              </w:rPr>
              <w:t xml:space="preserve"> as neatly as possible to secure within the answer book. It is the responsibility of the candidate to ensure the front cover of the answer book is fully completed and the right hand corner is stuck down.</w:t>
            </w:r>
          </w:p>
        </w:tc>
      </w:tr>
      <w:tr w:rsidR="00971230" w:rsidRPr="00836594" w:rsidTr="006E039F">
        <w:trPr>
          <w:trHeight w:val="32"/>
        </w:trPr>
        <w:tc>
          <w:tcPr>
            <w:tcW w:w="10455" w:type="dxa"/>
            <w:tcBorders>
              <w:top w:val="single" w:sz="8" w:space="0" w:color="000000"/>
              <w:bottom w:val="single" w:sz="8" w:space="0" w:color="000000"/>
            </w:tcBorders>
          </w:tcPr>
          <w:p w:rsidR="00971230" w:rsidRPr="006E039F" w:rsidRDefault="00971230" w:rsidP="00297C1D">
            <w:pPr>
              <w:pStyle w:val="Default"/>
              <w:jc w:val="both"/>
              <w:rPr>
                <w:rFonts w:ascii="Verdana" w:hAnsi="Verdana" w:cs="Verdana"/>
                <w:sz w:val="21"/>
                <w:szCs w:val="21"/>
              </w:rPr>
            </w:pPr>
            <w:r w:rsidRPr="006E039F">
              <w:rPr>
                <w:rFonts w:ascii="Verdana" w:hAnsi="Verdana" w:cs="Verdana"/>
                <w:sz w:val="21"/>
                <w:szCs w:val="21"/>
              </w:rPr>
              <w:t xml:space="preserve">All candidates must remain in their seats until their scripts have been collected and </w:t>
            </w:r>
            <w:proofErr w:type="gramStart"/>
            <w:r w:rsidRPr="006E039F">
              <w:rPr>
                <w:rFonts w:ascii="Verdana" w:hAnsi="Verdana" w:cs="Verdana"/>
                <w:sz w:val="21"/>
                <w:szCs w:val="21"/>
              </w:rPr>
              <w:t>are formally dismissed</w:t>
            </w:r>
            <w:proofErr w:type="gramEnd"/>
            <w:r w:rsidRPr="006E039F">
              <w:rPr>
                <w:rFonts w:ascii="Verdana" w:hAnsi="Verdana" w:cs="Verdana"/>
                <w:sz w:val="21"/>
                <w:szCs w:val="21"/>
              </w:rPr>
              <w:t xml:space="preserve"> by the Invigilator. </w:t>
            </w:r>
          </w:p>
        </w:tc>
      </w:tr>
    </w:tbl>
    <w:p w:rsidR="00E078B6" w:rsidRDefault="00E078B6"/>
    <w:sectPr w:rsidR="00E078B6" w:rsidSect="008C0C21">
      <w:headerReference w:type="default" r:id="rId6"/>
      <w:foot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C21" w:rsidRDefault="008C0C21" w:rsidP="008C0C21">
      <w:r>
        <w:separator/>
      </w:r>
    </w:p>
  </w:endnote>
  <w:endnote w:type="continuationSeparator" w:id="0">
    <w:p w:rsidR="008C0C21" w:rsidRDefault="008C0C21" w:rsidP="008C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05" w:rsidRPr="006E039F" w:rsidRDefault="00876705" w:rsidP="00876705">
    <w:pPr>
      <w:pStyle w:val="Footer"/>
      <w:ind w:right="480"/>
      <w:rPr>
        <w:rFonts w:ascii="Verdana" w:hAnsi="Verdana"/>
      </w:rPr>
    </w:pPr>
    <w:r w:rsidRPr="006E039F">
      <w:rPr>
        <w:rFonts w:ascii="Verdana" w:hAnsi="Verdana"/>
      </w:rPr>
      <w:t>2017-18</w:t>
    </w:r>
    <w:sdt>
      <w:sdtPr>
        <w:rPr>
          <w:rFonts w:ascii="Verdana" w:hAnsi="Verdana"/>
        </w:rPr>
        <w:id w:val="-59409347"/>
        <w:docPartObj>
          <w:docPartGallery w:val="Page Numbers (Bottom of Page)"/>
          <w:docPartUnique/>
        </w:docPartObj>
      </w:sdtPr>
      <w:sdtEndPr>
        <w:rPr>
          <w:noProof/>
        </w:rPr>
      </w:sdtEndPr>
      <w:sdtContent>
        <w:r w:rsidRPr="006E039F">
          <w:rPr>
            <w:rFonts w:ascii="Verdana" w:hAnsi="Verdana"/>
          </w:rPr>
          <w:tab/>
        </w:r>
        <w:r w:rsidRPr="006E039F">
          <w:rPr>
            <w:rFonts w:ascii="Verdana" w:hAnsi="Verdana"/>
          </w:rPr>
          <w:tab/>
        </w:r>
        <w:r w:rsidRPr="006E039F">
          <w:rPr>
            <w:rFonts w:ascii="Verdana" w:hAnsi="Verdana"/>
          </w:rPr>
          <w:fldChar w:fldCharType="begin"/>
        </w:r>
        <w:r w:rsidRPr="006E039F">
          <w:rPr>
            <w:rFonts w:ascii="Verdana" w:hAnsi="Verdana"/>
          </w:rPr>
          <w:instrText xml:space="preserve"> PAGE   \* MERGEFORMAT </w:instrText>
        </w:r>
        <w:r w:rsidRPr="006E039F">
          <w:rPr>
            <w:rFonts w:ascii="Verdana" w:hAnsi="Verdana"/>
          </w:rPr>
          <w:fldChar w:fldCharType="separate"/>
        </w:r>
        <w:r w:rsidR="00415221">
          <w:rPr>
            <w:rFonts w:ascii="Verdana" w:hAnsi="Verdana"/>
            <w:noProof/>
          </w:rPr>
          <w:t>2</w:t>
        </w:r>
        <w:r w:rsidRPr="006E039F">
          <w:rPr>
            <w:rFonts w:ascii="Verdana" w:hAnsi="Verdana"/>
            <w:noProof/>
          </w:rPr>
          <w:fldChar w:fldCharType="end"/>
        </w:r>
      </w:sdtContent>
    </w:sdt>
  </w:p>
  <w:p w:rsidR="00971230" w:rsidRDefault="00971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C21" w:rsidRDefault="008C0C21" w:rsidP="008C0C21">
      <w:r>
        <w:separator/>
      </w:r>
    </w:p>
  </w:footnote>
  <w:footnote w:type="continuationSeparator" w:id="0">
    <w:p w:rsidR="008C0C21" w:rsidRDefault="008C0C21" w:rsidP="008C0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C21" w:rsidRPr="008C0C21" w:rsidRDefault="008C0C21" w:rsidP="008C0C21">
    <w:pPr>
      <w:pStyle w:val="Header"/>
      <w:jc w:val="right"/>
      <w:rPr>
        <w:rFonts w:ascii="Verdana" w:hAnsi="Verdana"/>
        <w:sz w:val="36"/>
        <w:szCs w:val="36"/>
      </w:rPr>
    </w:pPr>
    <w:r>
      <w:rPr>
        <w:rFonts w:ascii="Verdana" w:hAnsi="Verdana"/>
        <w:noProof/>
        <w:sz w:val="36"/>
        <w:szCs w:val="36"/>
        <w:lang w:eastAsia="ja-JP"/>
      </w:rPr>
      <w:drawing>
        <wp:anchor distT="0" distB="0" distL="114300" distR="114300" simplePos="0" relativeHeight="251658240" behindDoc="0" locked="0" layoutInCell="1" allowOverlap="1">
          <wp:simplePos x="0" y="0"/>
          <wp:positionH relativeFrom="margin">
            <wp:align>right</wp:align>
          </wp:positionH>
          <wp:positionV relativeFrom="paragraph">
            <wp:posOffset>-200611</wp:posOffset>
          </wp:positionV>
          <wp:extent cx="2423165" cy="557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u-logo.png"/>
                  <pic:cNvPicPr/>
                </pic:nvPicPr>
                <pic:blipFill>
                  <a:blip r:embed="rId1">
                    <a:extLst>
                      <a:ext uri="{28A0092B-C50C-407E-A947-70E740481C1C}">
                        <a14:useLocalDpi xmlns:a14="http://schemas.microsoft.com/office/drawing/2010/main" val="0"/>
                      </a:ext>
                    </a:extLst>
                  </a:blip>
                  <a:stretch>
                    <a:fillRect/>
                  </a:stretch>
                </pic:blipFill>
                <pic:spPr>
                  <a:xfrm>
                    <a:off x="0" y="0"/>
                    <a:ext cx="2423165" cy="557785"/>
                  </a:xfrm>
                  <a:prstGeom prst="rect">
                    <a:avLst/>
                  </a:prstGeom>
                </pic:spPr>
              </pic:pic>
            </a:graphicData>
          </a:graphic>
          <wp14:sizeRelH relativeFrom="page">
            <wp14:pctWidth>0</wp14:pctWidth>
          </wp14:sizeRelH>
          <wp14:sizeRelV relativeFrom="page">
            <wp14:pctHeight>0</wp14:pctHeight>
          </wp14:sizeRelV>
        </wp:anchor>
      </w:drawing>
    </w:r>
  </w:p>
  <w:p w:rsidR="008C0C21" w:rsidRDefault="008C0C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21"/>
    <w:rsid w:val="00134E19"/>
    <w:rsid w:val="00297C1D"/>
    <w:rsid w:val="00302E17"/>
    <w:rsid w:val="00415221"/>
    <w:rsid w:val="00430511"/>
    <w:rsid w:val="005432DA"/>
    <w:rsid w:val="005922E8"/>
    <w:rsid w:val="006E039F"/>
    <w:rsid w:val="00717B79"/>
    <w:rsid w:val="00876705"/>
    <w:rsid w:val="00887852"/>
    <w:rsid w:val="008C0C21"/>
    <w:rsid w:val="00971230"/>
    <w:rsid w:val="00B93424"/>
    <w:rsid w:val="00BF2EA2"/>
    <w:rsid w:val="00DC1FC6"/>
    <w:rsid w:val="00E078B6"/>
    <w:rsid w:val="00E10164"/>
    <w:rsid w:val="00E23AD7"/>
    <w:rsid w:val="00EB1B55"/>
    <w:rsid w:val="00F23E6B"/>
    <w:rsid w:val="00FB68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33B57D"/>
  <w15:chartTrackingRefBased/>
  <w15:docId w15:val="{81BD01E1-92F7-4BAF-B03D-0AB8ADB4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C21"/>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C21"/>
    <w:pPr>
      <w:autoSpaceDE w:val="0"/>
      <w:autoSpaceDN w:val="0"/>
      <w:adjustRightInd w:val="0"/>
      <w:spacing w:after="0" w:line="240" w:lineRule="auto"/>
    </w:pPr>
    <w:rPr>
      <w:rFonts w:ascii="Arial" w:eastAsia="SimSun" w:hAnsi="Arial" w:cs="Arial"/>
      <w:color w:val="000000"/>
      <w:sz w:val="24"/>
      <w:szCs w:val="24"/>
    </w:rPr>
  </w:style>
  <w:style w:type="paragraph" w:styleId="Header">
    <w:name w:val="header"/>
    <w:basedOn w:val="Normal"/>
    <w:link w:val="HeaderChar"/>
    <w:uiPriority w:val="99"/>
    <w:unhideWhenUsed/>
    <w:rsid w:val="008C0C21"/>
    <w:pPr>
      <w:tabs>
        <w:tab w:val="center" w:pos="4513"/>
        <w:tab w:val="right" w:pos="9026"/>
      </w:tabs>
    </w:pPr>
  </w:style>
  <w:style w:type="character" w:customStyle="1" w:styleId="HeaderChar">
    <w:name w:val="Header Char"/>
    <w:basedOn w:val="DefaultParagraphFont"/>
    <w:link w:val="Header"/>
    <w:uiPriority w:val="99"/>
    <w:rsid w:val="008C0C21"/>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8C0C21"/>
    <w:pPr>
      <w:tabs>
        <w:tab w:val="center" w:pos="4513"/>
        <w:tab w:val="right" w:pos="9026"/>
      </w:tabs>
    </w:pPr>
  </w:style>
  <w:style w:type="character" w:customStyle="1" w:styleId="FooterChar">
    <w:name w:val="Footer Char"/>
    <w:basedOn w:val="DefaultParagraphFont"/>
    <w:link w:val="Footer"/>
    <w:uiPriority w:val="99"/>
    <w:rsid w:val="008C0C21"/>
    <w:rPr>
      <w:rFonts w:ascii="Times New Roman" w:eastAsia="Times New Roman" w:hAnsi="Times New Roman" w:cs="Times New Roman"/>
      <w:sz w:val="24"/>
      <w:szCs w:val="20"/>
      <w:lang w:eastAsia="en-US"/>
    </w:rPr>
  </w:style>
  <w:style w:type="paragraph" w:styleId="BalloonText">
    <w:name w:val="Balloon Text"/>
    <w:basedOn w:val="Normal"/>
    <w:link w:val="BalloonTextChar"/>
    <w:uiPriority w:val="99"/>
    <w:semiHidden/>
    <w:unhideWhenUsed/>
    <w:rsid w:val="00134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E19"/>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Loveridge, Lorraine</dc:creator>
  <cp:keywords/>
  <dc:description/>
  <cp:lastModifiedBy>Leber, Dani</cp:lastModifiedBy>
  <cp:revision>6</cp:revision>
  <cp:lastPrinted>2015-01-30T15:24:00Z</cp:lastPrinted>
  <dcterms:created xsi:type="dcterms:W3CDTF">2018-09-12T14:03:00Z</dcterms:created>
  <dcterms:modified xsi:type="dcterms:W3CDTF">2018-09-13T13:07:00Z</dcterms:modified>
</cp:coreProperties>
</file>