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98" w:rsidRPr="005A5C28" w:rsidRDefault="00701798" w:rsidP="007F6B71">
      <w:pPr>
        <w:spacing w:after="0"/>
        <w:jc w:val="center"/>
        <w:rPr>
          <w:rFonts w:ascii="Verdana" w:hAnsi="Verdana"/>
          <w:b/>
          <w:bCs/>
          <w:sz w:val="24"/>
          <w:szCs w:val="24"/>
        </w:rPr>
      </w:pPr>
      <w:r w:rsidRPr="005A5C28">
        <w:rPr>
          <w:rFonts w:ascii="Verdana" w:hAnsi="Verdana"/>
          <w:b/>
          <w:bCs/>
          <w:sz w:val="24"/>
          <w:szCs w:val="24"/>
        </w:rPr>
        <w:t>Course Leader Quiz</w:t>
      </w:r>
      <w:r w:rsidR="0070241A" w:rsidRPr="005A5C28">
        <w:rPr>
          <w:rFonts w:ascii="Verdana" w:hAnsi="Verdana"/>
          <w:b/>
          <w:bCs/>
          <w:sz w:val="24"/>
          <w:szCs w:val="24"/>
        </w:rPr>
        <w:t xml:space="preserve"> – answer key</w:t>
      </w:r>
    </w:p>
    <w:p w:rsidR="00701798" w:rsidRPr="005A5C28" w:rsidRDefault="00701798" w:rsidP="00701798">
      <w:pPr>
        <w:spacing w:after="0"/>
        <w:rPr>
          <w:rFonts w:ascii="Verdana" w:hAnsi="Verdana"/>
          <w:sz w:val="20"/>
          <w:szCs w:val="20"/>
        </w:rPr>
      </w:pPr>
    </w:p>
    <w:p w:rsidR="00582343" w:rsidRDefault="00582343" w:rsidP="00582343">
      <w:pPr>
        <w:rPr>
          <w:rFonts w:ascii="Verdana" w:hAnsi="Verdana"/>
          <w:b/>
          <w:bCs/>
        </w:rPr>
      </w:pPr>
      <w:r w:rsidRPr="005A5C28">
        <w:rPr>
          <w:rFonts w:ascii="Verdana" w:hAnsi="Verdana"/>
          <w:b/>
          <w:bCs/>
        </w:rPr>
        <w:t xml:space="preserve">1. Alphabet soup. </w:t>
      </w:r>
      <w:r w:rsidRPr="007F6B71">
        <w:rPr>
          <w:rFonts w:ascii="Verdana" w:hAnsi="Verdana"/>
          <w:b/>
          <w:bCs/>
        </w:rPr>
        <w:t>What do the following acronyms stand for?</w:t>
      </w:r>
    </w:p>
    <w:p w:rsidR="00582343" w:rsidRDefault="00582343" w:rsidP="005A5C28">
      <w:pPr>
        <w:spacing w:after="0" w:line="360" w:lineRule="auto"/>
        <w:rPr>
          <w:rFonts w:ascii="Verdana" w:hAnsi="Verdana"/>
          <w:sz w:val="20"/>
          <w:szCs w:val="20"/>
        </w:rPr>
      </w:pPr>
      <w:r>
        <w:rPr>
          <w:rFonts w:ascii="Verdana" w:hAnsi="Verdana"/>
          <w:sz w:val="20"/>
          <w:szCs w:val="20"/>
        </w:rPr>
        <w:t>CSQR</w:t>
      </w:r>
      <w:r>
        <w:rPr>
          <w:rFonts w:ascii="Verdana" w:hAnsi="Verdana"/>
          <w:sz w:val="20"/>
          <w:szCs w:val="20"/>
        </w:rPr>
        <w:tab/>
        <w:t>_____</w:t>
      </w:r>
      <w:r w:rsidR="00410BCA" w:rsidRPr="00AD0617">
        <w:rPr>
          <w:rFonts w:ascii="Verdana" w:hAnsi="Verdana"/>
          <w:i/>
          <w:iCs/>
          <w:sz w:val="20"/>
          <w:szCs w:val="20"/>
        </w:rPr>
        <w:t>Course Standards and Quality Report</w:t>
      </w:r>
      <w:r>
        <w:rPr>
          <w:rFonts w:ascii="Verdana" w:hAnsi="Verdana"/>
          <w:sz w:val="20"/>
          <w:szCs w:val="20"/>
        </w:rPr>
        <w:t>____________________________</w:t>
      </w:r>
    </w:p>
    <w:p w:rsidR="00582343" w:rsidRDefault="00582343" w:rsidP="005A5C28">
      <w:pPr>
        <w:spacing w:after="0" w:line="360" w:lineRule="auto"/>
        <w:rPr>
          <w:rFonts w:ascii="Verdana" w:hAnsi="Verdana"/>
          <w:sz w:val="20"/>
          <w:szCs w:val="20"/>
        </w:rPr>
      </w:pPr>
      <w:r>
        <w:rPr>
          <w:rFonts w:ascii="Verdana" w:hAnsi="Verdana"/>
          <w:sz w:val="20"/>
          <w:szCs w:val="20"/>
        </w:rPr>
        <w:t>DAG</w:t>
      </w:r>
      <w:r>
        <w:rPr>
          <w:rFonts w:ascii="Verdana" w:hAnsi="Verdana"/>
          <w:sz w:val="20"/>
          <w:szCs w:val="20"/>
        </w:rPr>
        <w:tab/>
        <w:t>_____</w:t>
      </w:r>
      <w:r w:rsidR="00410BCA" w:rsidRPr="00AD0617">
        <w:rPr>
          <w:rFonts w:ascii="Verdana" w:hAnsi="Verdana"/>
          <w:i/>
          <w:iCs/>
          <w:sz w:val="20"/>
          <w:szCs w:val="20"/>
        </w:rPr>
        <w:t>Development and Approval Group</w:t>
      </w:r>
      <w:r>
        <w:rPr>
          <w:rFonts w:ascii="Verdana" w:hAnsi="Verdana"/>
          <w:sz w:val="20"/>
          <w:szCs w:val="20"/>
        </w:rPr>
        <w:t>______________________________</w:t>
      </w:r>
    </w:p>
    <w:p w:rsidR="00582343" w:rsidRDefault="00582343" w:rsidP="005A5C28">
      <w:pPr>
        <w:spacing w:after="0" w:line="360" w:lineRule="auto"/>
        <w:rPr>
          <w:rFonts w:ascii="Verdana" w:hAnsi="Verdana"/>
          <w:sz w:val="20"/>
          <w:szCs w:val="20"/>
        </w:rPr>
      </w:pPr>
      <w:r>
        <w:rPr>
          <w:rFonts w:ascii="Verdana" w:hAnsi="Verdana"/>
          <w:sz w:val="20"/>
          <w:szCs w:val="20"/>
        </w:rPr>
        <w:t>SASQC</w:t>
      </w:r>
      <w:r>
        <w:rPr>
          <w:rFonts w:ascii="Verdana" w:hAnsi="Verdana"/>
          <w:sz w:val="20"/>
          <w:szCs w:val="20"/>
        </w:rPr>
        <w:tab/>
        <w:t>_____</w:t>
      </w:r>
      <w:r w:rsidR="00410BCA" w:rsidRPr="00AD0617">
        <w:rPr>
          <w:rFonts w:ascii="Verdana" w:hAnsi="Verdana"/>
          <w:i/>
          <w:iCs/>
          <w:sz w:val="20"/>
          <w:szCs w:val="20"/>
        </w:rPr>
        <w:t>School Academic Standards and Quality Committee</w:t>
      </w:r>
      <w:r>
        <w:rPr>
          <w:rFonts w:ascii="Verdana" w:hAnsi="Verdana"/>
          <w:sz w:val="20"/>
          <w:szCs w:val="20"/>
        </w:rPr>
        <w:t>_______________________</w:t>
      </w:r>
    </w:p>
    <w:p w:rsidR="00582343" w:rsidRDefault="00582343" w:rsidP="005A5C28">
      <w:pPr>
        <w:spacing w:before="360" w:after="120"/>
        <w:rPr>
          <w:rFonts w:ascii="Verdana" w:hAnsi="Verdana"/>
          <w:sz w:val="20"/>
          <w:szCs w:val="20"/>
        </w:rPr>
      </w:pPr>
      <w:r w:rsidRPr="007F6B71">
        <w:rPr>
          <w:rFonts w:ascii="Verdana" w:hAnsi="Verdana"/>
          <w:b/>
          <w:bCs/>
        </w:rPr>
        <w:t xml:space="preserve">2. Name at least one </w:t>
      </w:r>
      <w:r w:rsidR="00FF7355">
        <w:rPr>
          <w:rFonts w:ascii="Verdana" w:hAnsi="Verdana"/>
          <w:b/>
          <w:bCs/>
        </w:rPr>
        <w:t>…</w:t>
      </w:r>
    </w:p>
    <w:p w:rsidR="00701798" w:rsidRDefault="00BF5562" w:rsidP="003071D5">
      <w:pPr>
        <w:tabs>
          <w:tab w:val="left" w:pos="5529"/>
        </w:tabs>
        <w:spacing w:after="0"/>
        <w:rPr>
          <w:rFonts w:ascii="Verdana" w:hAnsi="Verdana"/>
          <w:sz w:val="20"/>
          <w:szCs w:val="20"/>
        </w:rPr>
      </w:pPr>
      <w:r>
        <w:rPr>
          <w:rFonts w:ascii="Verdana" w:hAnsi="Verdana"/>
          <w:sz w:val="20"/>
          <w:szCs w:val="20"/>
        </w:rPr>
        <w:t>a) NTU Graduate Attribute</w:t>
      </w:r>
      <w:r>
        <w:rPr>
          <w:rFonts w:ascii="Verdana" w:hAnsi="Verdana"/>
          <w:sz w:val="20"/>
          <w:szCs w:val="20"/>
        </w:rPr>
        <w:tab/>
        <w:t>b) theme from C21U discussions</w:t>
      </w:r>
    </w:p>
    <w:p w:rsidR="00BF5562" w:rsidRDefault="00BF5562" w:rsidP="00701798">
      <w:pPr>
        <w:spacing w:after="0"/>
        <w:rPr>
          <w:rFonts w:ascii="Verdana" w:hAnsi="Verdana"/>
          <w:sz w:val="20"/>
          <w:szCs w:val="20"/>
        </w:rPr>
      </w:pPr>
      <w:bookmarkStart w:id="0" w:name="_GoBack"/>
      <w:bookmarkEnd w:id="0"/>
    </w:p>
    <w:p w:rsidR="00BF5562" w:rsidRPr="00AD0617" w:rsidRDefault="003071D5" w:rsidP="003071D5">
      <w:pPr>
        <w:tabs>
          <w:tab w:val="left" w:pos="5529"/>
        </w:tabs>
        <w:spacing w:after="0"/>
        <w:rPr>
          <w:rFonts w:ascii="Verdana" w:hAnsi="Verdana"/>
          <w:i/>
          <w:iCs/>
          <w:sz w:val="20"/>
          <w:szCs w:val="20"/>
        </w:rPr>
      </w:pPr>
      <w:r>
        <w:rPr>
          <w:rFonts w:ascii="Verdana" w:hAnsi="Verdana"/>
          <w:sz w:val="20"/>
          <w:szCs w:val="20"/>
        </w:rPr>
        <w:tab/>
      </w:r>
      <w:r w:rsidRPr="00AD0617">
        <w:rPr>
          <w:rFonts w:ascii="Verdana" w:hAnsi="Verdana"/>
          <w:i/>
          <w:iCs/>
          <w:sz w:val="20"/>
          <w:szCs w:val="20"/>
        </w:rPr>
        <w:t>Valuing ideas</w:t>
      </w:r>
    </w:p>
    <w:p w:rsidR="003071D5" w:rsidRPr="00AD0617" w:rsidRDefault="00AD0617" w:rsidP="003071D5">
      <w:pPr>
        <w:tabs>
          <w:tab w:val="left" w:pos="5529"/>
        </w:tabs>
        <w:spacing w:after="0"/>
        <w:rPr>
          <w:rFonts w:ascii="Verdana" w:hAnsi="Verdana"/>
          <w:i/>
          <w:iCs/>
          <w:sz w:val="20"/>
          <w:szCs w:val="20"/>
        </w:rPr>
      </w:pPr>
      <w:r w:rsidRPr="00AD0617">
        <w:rPr>
          <w:rFonts w:ascii="Verdana" w:hAnsi="Verdana"/>
          <w:i/>
          <w:iCs/>
          <w:sz w:val="20"/>
          <w:szCs w:val="20"/>
        </w:rPr>
        <w:t>See attached list</w:t>
      </w:r>
      <w:r w:rsidR="003071D5" w:rsidRPr="00AD0617">
        <w:rPr>
          <w:rFonts w:ascii="Verdana" w:hAnsi="Verdana"/>
          <w:i/>
          <w:iCs/>
          <w:sz w:val="20"/>
          <w:szCs w:val="20"/>
        </w:rPr>
        <w:tab/>
        <w:t>Creating opportunity</w:t>
      </w:r>
    </w:p>
    <w:p w:rsidR="00BF5562" w:rsidRPr="00AD0617" w:rsidRDefault="003071D5" w:rsidP="003071D5">
      <w:pPr>
        <w:tabs>
          <w:tab w:val="left" w:pos="5529"/>
        </w:tabs>
        <w:spacing w:after="0"/>
        <w:rPr>
          <w:rFonts w:ascii="Verdana" w:hAnsi="Verdana"/>
          <w:i/>
          <w:iCs/>
          <w:sz w:val="20"/>
          <w:szCs w:val="20"/>
        </w:rPr>
      </w:pPr>
      <w:r w:rsidRPr="00AD0617">
        <w:rPr>
          <w:rFonts w:ascii="Verdana" w:hAnsi="Verdana"/>
          <w:i/>
          <w:iCs/>
          <w:sz w:val="20"/>
          <w:szCs w:val="20"/>
        </w:rPr>
        <w:tab/>
        <w:t>Enriching society</w:t>
      </w:r>
    </w:p>
    <w:p w:rsidR="00BF5562" w:rsidRPr="00701798" w:rsidRDefault="00BF5562" w:rsidP="00701798">
      <w:pPr>
        <w:spacing w:after="0"/>
        <w:rPr>
          <w:rFonts w:ascii="Verdana" w:hAnsi="Verdana"/>
          <w:sz w:val="20"/>
          <w:szCs w:val="20"/>
        </w:rPr>
      </w:pPr>
    </w:p>
    <w:p w:rsidR="00701798" w:rsidRPr="00701798" w:rsidRDefault="00701798" w:rsidP="00701798">
      <w:pPr>
        <w:spacing w:after="0"/>
        <w:rPr>
          <w:rFonts w:ascii="Verdana" w:hAnsi="Verdana"/>
          <w:sz w:val="20"/>
          <w:szCs w:val="20"/>
        </w:rPr>
      </w:pPr>
    </w:p>
    <w:tbl>
      <w:tblPr>
        <w:tblStyle w:val="TableGrid"/>
        <w:tblW w:w="0" w:type="auto"/>
        <w:tblLook w:val="04A0" w:firstRow="1" w:lastRow="0" w:firstColumn="1" w:lastColumn="0" w:noHBand="0" w:noVBand="1"/>
      </w:tblPr>
      <w:tblGrid>
        <w:gridCol w:w="5778"/>
        <w:gridCol w:w="4076"/>
      </w:tblGrid>
      <w:tr w:rsidR="00701798" w:rsidRPr="00701798" w:rsidTr="0070241A">
        <w:tc>
          <w:tcPr>
            <w:tcW w:w="5778" w:type="dxa"/>
          </w:tcPr>
          <w:p w:rsidR="00701798" w:rsidRPr="007231F2" w:rsidRDefault="00701798" w:rsidP="007231F2">
            <w:pPr>
              <w:spacing w:line="360" w:lineRule="auto"/>
              <w:rPr>
                <w:rFonts w:ascii="Verdana" w:hAnsi="Verdana"/>
                <w:b/>
                <w:bCs/>
              </w:rPr>
            </w:pPr>
            <w:r w:rsidRPr="00701798">
              <w:rPr>
                <w:rFonts w:ascii="Verdana" w:hAnsi="Verdana"/>
                <w:b/>
                <w:bCs/>
              </w:rPr>
              <w:t>3. True or false?</w:t>
            </w:r>
          </w:p>
        </w:tc>
        <w:tc>
          <w:tcPr>
            <w:tcW w:w="4076" w:type="dxa"/>
          </w:tcPr>
          <w:p w:rsidR="00701798" w:rsidRPr="00701798" w:rsidRDefault="00701798" w:rsidP="00701798">
            <w:pPr>
              <w:rPr>
                <w:rFonts w:ascii="Verdana" w:hAnsi="Verdana"/>
                <w:sz w:val="20"/>
                <w:szCs w:val="20"/>
              </w:rPr>
            </w:pPr>
            <w:r w:rsidRPr="00701798">
              <w:rPr>
                <w:rFonts w:ascii="Verdana" w:hAnsi="Verdana"/>
                <w:sz w:val="20"/>
                <w:szCs w:val="20"/>
              </w:rPr>
              <w:t>T/F</w:t>
            </w:r>
          </w:p>
        </w:tc>
      </w:tr>
      <w:tr w:rsidR="00701798" w:rsidRPr="00701798" w:rsidTr="0070241A">
        <w:tc>
          <w:tcPr>
            <w:tcW w:w="5778" w:type="dxa"/>
          </w:tcPr>
          <w:p w:rsidR="00701798" w:rsidRPr="00701798" w:rsidRDefault="0097530C" w:rsidP="007231F2">
            <w:pPr>
              <w:spacing w:line="360" w:lineRule="auto"/>
              <w:rPr>
                <w:rFonts w:ascii="Verdana" w:hAnsi="Verdana"/>
                <w:sz w:val="20"/>
                <w:szCs w:val="20"/>
              </w:rPr>
            </w:pPr>
            <w:r w:rsidRPr="00701798">
              <w:rPr>
                <w:rFonts w:ascii="Verdana" w:hAnsi="Verdana"/>
                <w:sz w:val="20"/>
                <w:szCs w:val="20"/>
              </w:rPr>
              <w:t>All undergraduate courses must include a capstone project in the final year</w:t>
            </w:r>
          </w:p>
        </w:tc>
        <w:tc>
          <w:tcPr>
            <w:tcW w:w="4076" w:type="dxa"/>
          </w:tcPr>
          <w:p w:rsidR="00701798" w:rsidRPr="00701798" w:rsidRDefault="00410BCA" w:rsidP="00701798">
            <w:pPr>
              <w:rPr>
                <w:rFonts w:ascii="Verdana" w:hAnsi="Verdana"/>
                <w:sz w:val="20"/>
                <w:szCs w:val="20"/>
              </w:rPr>
            </w:pPr>
            <w:r>
              <w:rPr>
                <w:rFonts w:ascii="Verdana" w:hAnsi="Verdana"/>
                <w:sz w:val="20"/>
                <w:szCs w:val="20"/>
              </w:rPr>
              <w:t>T</w:t>
            </w:r>
            <w:r w:rsidR="0070241A">
              <w:rPr>
                <w:rFonts w:ascii="Verdana" w:hAnsi="Verdana"/>
                <w:sz w:val="20"/>
                <w:szCs w:val="20"/>
              </w:rPr>
              <w:t xml:space="preserve"> </w:t>
            </w:r>
            <w:r w:rsidR="0070241A" w:rsidRPr="005A5C28">
              <w:rPr>
                <w:rFonts w:ascii="Verdana" w:hAnsi="Verdana"/>
                <w:sz w:val="16"/>
                <w:szCs w:val="16"/>
              </w:rPr>
              <w:t>(Q</w:t>
            </w:r>
            <w:r w:rsidR="005A5C28" w:rsidRPr="005A5C28">
              <w:rPr>
                <w:rFonts w:ascii="Verdana" w:hAnsi="Verdana"/>
                <w:sz w:val="16"/>
                <w:szCs w:val="16"/>
              </w:rPr>
              <w:t xml:space="preserve">uality </w:t>
            </w:r>
            <w:r w:rsidR="0070241A" w:rsidRPr="005A5C28">
              <w:rPr>
                <w:rFonts w:ascii="Verdana" w:hAnsi="Verdana"/>
                <w:sz w:val="16"/>
                <w:szCs w:val="16"/>
              </w:rPr>
              <w:t>H</w:t>
            </w:r>
            <w:r w:rsidR="005A5C28" w:rsidRPr="005A5C28">
              <w:rPr>
                <w:rFonts w:ascii="Verdana" w:hAnsi="Verdana"/>
                <w:sz w:val="16"/>
                <w:szCs w:val="16"/>
              </w:rPr>
              <w:t xml:space="preserve">andbook </w:t>
            </w:r>
            <w:r w:rsidR="0070241A" w:rsidRPr="005A5C28">
              <w:rPr>
                <w:rFonts w:ascii="Verdana" w:hAnsi="Verdana"/>
                <w:sz w:val="16"/>
                <w:szCs w:val="16"/>
              </w:rPr>
              <w:t>11:3.9)</w:t>
            </w:r>
          </w:p>
        </w:tc>
      </w:tr>
      <w:tr w:rsidR="00701798" w:rsidRPr="00701798" w:rsidTr="0070241A">
        <w:tc>
          <w:tcPr>
            <w:tcW w:w="5778" w:type="dxa"/>
          </w:tcPr>
          <w:p w:rsidR="00701798" w:rsidRPr="00701798" w:rsidRDefault="0097530C" w:rsidP="005A5C28">
            <w:pPr>
              <w:rPr>
                <w:rFonts w:ascii="Verdana" w:hAnsi="Verdana"/>
                <w:sz w:val="20"/>
                <w:szCs w:val="20"/>
              </w:rPr>
            </w:pPr>
            <w:r>
              <w:rPr>
                <w:rFonts w:ascii="Verdana" w:hAnsi="Verdana"/>
                <w:sz w:val="20"/>
                <w:szCs w:val="20"/>
              </w:rPr>
              <w:t>External examiners cannot have studied or worked at NTU in the last 5 years</w:t>
            </w:r>
          </w:p>
        </w:tc>
        <w:tc>
          <w:tcPr>
            <w:tcW w:w="4076" w:type="dxa"/>
          </w:tcPr>
          <w:p w:rsidR="00701798" w:rsidRPr="00701798" w:rsidRDefault="00410BCA" w:rsidP="00701798">
            <w:pPr>
              <w:rPr>
                <w:rFonts w:ascii="Verdana" w:hAnsi="Verdana"/>
                <w:sz w:val="20"/>
                <w:szCs w:val="20"/>
              </w:rPr>
            </w:pPr>
            <w:r>
              <w:rPr>
                <w:rFonts w:ascii="Verdana" w:hAnsi="Verdana"/>
                <w:sz w:val="20"/>
                <w:szCs w:val="20"/>
              </w:rPr>
              <w:t>T</w:t>
            </w:r>
            <w:r w:rsidR="0070241A">
              <w:rPr>
                <w:rFonts w:ascii="Verdana" w:hAnsi="Verdana"/>
                <w:sz w:val="20"/>
                <w:szCs w:val="20"/>
              </w:rPr>
              <w:t xml:space="preserve"> </w:t>
            </w:r>
            <w:r w:rsidR="005A5C28" w:rsidRPr="005A5C28">
              <w:rPr>
                <w:rFonts w:ascii="Verdana" w:hAnsi="Verdana"/>
                <w:sz w:val="16"/>
                <w:szCs w:val="16"/>
              </w:rPr>
              <w:t>(Form EE1: Replacing/appointing an external examiner)</w:t>
            </w:r>
          </w:p>
        </w:tc>
      </w:tr>
      <w:tr w:rsidR="00701798" w:rsidRPr="00701798" w:rsidTr="0070241A">
        <w:tc>
          <w:tcPr>
            <w:tcW w:w="5778" w:type="dxa"/>
          </w:tcPr>
          <w:p w:rsidR="00701798" w:rsidRPr="00701798" w:rsidRDefault="00701798" w:rsidP="007231F2">
            <w:pPr>
              <w:spacing w:line="360" w:lineRule="auto"/>
              <w:rPr>
                <w:rFonts w:ascii="Verdana" w:hAnsi="Verdana"/>
                <w:sz w:val="20"/>
                <w:szCs w:val="20"/>
              </w:rPr>
            </w:pPr>
            <w:r w:rsidRPr="00701798">
              <w:rPr>
                <w:rFonts w:ascii="Verdana" w:hAnsi="Verdana"/>
                <w:sz w:val="20"/>
                <w:szCs w:val="20"/>
              </w:rPr>
              <w:t>All course changes must be approved by a DAG</w:t>
            </w:r>
          </w:p>
        </w:tc>
        <w:tc>
          <w:tcPr>
            <w:tcW w:w="4076" w:type="dxa"/>
          </w:tcPr>
          <w:p w:rsidR="00701798" w:rsidRPr="00701798" w:rsidRDefault="00410BCA" w:rsidP="005A5C28">
            <w:pPr>
              <w:rPr>
                <w:rFonts w:ascii="Verdana" w:hAnsi="Verdana"/>
                <w:sz w:val="20"/>
                <w:szCs w:val="20"/>
              </w:rPr>
            </w:pPr>
            <w:r>
              <w:rPr>
                <w:rFonts w:ascii="Verdana" w:hAnsi="Verdana"/>
                <w:sz w:val="20"/>
                <w:szCs w:val="20"/>
              </w:rPr>
              <w:t>F</w:t>
            </w:r>
            <w:r w:rsidR="0070241A">
              <w:rPr>
                <w:rFonts w:ascii="Verdana" w:hAnsi="Verdana"/>
                <w:sz w:val="20"/>
                <w:szCs w:val="20"/>
              </w:rPr>
              <w:t xml:space="preserve"> </w:t>
            </w:r>
            <w:r w:rsidR="0070241A" w:rsidRPr="005A5C28">
              <w:rPr>
                <w:rFonts w:ascii="Verdana" w:hAnsi="Verdana"/>
                <w:sz w:val="16"/>
                <w:szCs w:val="16"/>
              </w:rPr>
              <w:t>(</w:t>
            </w:r>
            <w:r w:rsidR="005A5C28" w:rsidRPr="005A5C28">
              <w:rPr>
                <w:rFonts w:ascii="Verdana" w:hAnsi="Verdana"/>
                <w:sz w:val="16"/>
                <w:szCs w:val="16"/>
              </w:rPr>
              <w:t>minor changes can be approved by a course committee</w:t>
            </w:r>
            <w:r w:rsidR="0070241A" w:rsidRPr="005A5C28">
              <w:rPr>
                <w:rFonts w:ascii="Verdana" w:hAnsi="Verdana"/>
                <w:sz w:val="16"/>
                <w:szCs w:val="16"/>
              </w:rPr>
              <w:t>)</w:t>
            </w:r>
          </w:p>
        </w:tc>
      </w:tr>
      <w:tr w:rsidR="00701798" w:rsidRPr="00701798" w:rsidTr="0070241A">
        <w:tc>
          <w:tcPr>
            <w:tcW w:w="5778" w:type="dxa"/>
          </w:tcPr>
          <w:p w:rsidR="00701798" w:rsidRPr="00701798" w:rsidRDefault="00701798" w:rsidP="00BF5562">
            <w:pPr>
              <w:rPr>
                <w:rFonts w:ascii="Verdana" w:hAnsi="Verdana"/>
                <w:sz w:val="20"/>
                <w:szCs w:val="20"/>
              </w:rPr>
            </w:pPr>
            <w:r w:rsidRPr="00701798">
              <w:rPr>
                <w:rFonts w:ascii="Verdana" w:hAnsi="Verdana"/>
                <w:sz w:val="20"/>
                <w:szCs w:val="20"/>
              </w:rPr>
              <w:t>There is a limit to the number of first class results that can be awar</w:t>
            </w:r>
            <w:r>
              <w:rPr>
                <w:rFonts w:ascii="Verdana" w:hAnsi="Verdana"/>
                <w:sz w:val="20"/>
                <w:szCs w:val="20"/>
              </w:rPr>
              <w:t>ded in any summative assessment</w:t>
            </w:r>
          </w:p>
        </w:tc>
        <w:tc>
          <w:tcPr>
            <w:tcW w:w="4076" w:type="dxa"/>
          </w:tcPr>
          <w:p w:rsidR="00701798" w:rsidRPr="00701798" w:rsidRDefault="00410BCA" w:rsidP="00701798">
            <w:pPr>
              <w:rPr>
                <w:rFonts w:ascii="Verdana" w:hAnsi="Verdana"/>
                <w:sz w:val="20"/>
                <w:szCs w:val="20"/>
              </w:rPr>
            </w:pPr>
            <w:r>
              <w:rPr>
                <w:rFonts w:ascii="Verdana" w:hAnsi="Verdana"/>
                <w:sz w:val="20"/>
                <w:szCs w:val="20"/>
              </w:rPr>
              <w:t>F</w:t>
            </w:r>
            <w:r w:rsidR="0070241A">
              <w:rPr>
                <w:rFonts w:ascii="Verdana" w:hAnsi="Verdana"/>
                <w:sz w:val="20"/>
                <w:szCs w:val="20"/>
              </w:rPr>
              <w:t xml:space="preserve"> </w:t>
            </w:r>
            <w:r w:rsidR="0070241A" w:rsidRPr="005A5C28">
              <w:rPr>
                <w:rFonts w:ascii="Verdana" w:hAnsi="Verdana"/>
                <w:sz w:val="16"/>
                <w:szCs w:val="16"/>
              </w:rPr>
              <w:t>(QH15:7.2)</w:t>
            </w:r>
          </w:p>
        </w:tc>
      </w:tr>
      <w:tr w:rsidR="00701798" w:rsidRPr="00701798" w:rsidTr="0070241A">
        <w:tc>
          <w:tcPr>
            <w:tcW w:w="5778" w:type="dxa"/>
          </w:tcPr>
          <w:p w:rsidR="00701798" w:rsidRPr="00701798" w:rsidRDefault="00701798" w:rsidP="005A5C28">
            <w:pPr>
              <w:rPr>
                <w:rFonts w:ascii="Verdana" w:hAnsi="Verdana"/>
                <w:sz w:val="20"/>
                <w:szCs w:val="20"/>
              </w:rPr>
            </w:pPr>
            <w:r w:rsidRPr="00701798">
              <w:rPr>
                <w:rFonts w:ascii="Verdana" w:hAnsi="Verdana"/>
                <w:sz w:val="20"/>
                <w:szCs w:val="20"/>
              </w:rPr>
              <w:t>Formative feedback should always be provided by the tutor</w:t>
            </w:r>
          </w:p>
        </w:tc>
        <w:tc>
          <w:tcPr>
            <w:tcW w:w="4076" w:type="dxa"/>
          </w:tcPr>
          <w:p w:rsidR="00701798" w:rsidRPr="00701798" w:rsidRDefault="00410BCA" w:rsidP="00701798">
            <w:pPr>
              <w:rPr>
                <w:rFonts w:ascii="Verdana" w:hAnsi="Verdana"/>
                <w:sz w:val="20"/>
                <w:szCs w:val="20"/>
              </w:rPr>
            </w:pPr>
            <w:r>
              <w:rPr>
                <w:rFonts w:ascii="Verdana" w:hAnsi="Verdana"/>
                <w:sz w:val="20"/>
                <w:szCs w:val="20"/>
              </w:rPr>
              <w:t>F</w:t>
            </w:r>
            <w:r w:rsidR="0070241A">
              <w:rPr>
                <w:rFonts w:ascii="Verdana" w:hAnsi="Verdana"/>
                <w:sz w:val="20"/>
                <w:szCs w:val="20"/>
              </w:rPr>
              <w:t xml:space="preserve"> </w:t>
            </w:r>
            <w:r w:rsidR="0070241A" w:rsidRPr="005A5C28">
              <w:rPr>
                <w:rFonts w:ascii="Verdana" w:hAnsi="Verdana"/>
                <w:sz w:val="16"/>
                <w:szCs w:val="16"/>
              </w:rPr>
              <w:t>(should come from variety of sources including peer and self QH15)</w:t>
            </w:r>
          </w:p>
        </w:tc>
      </w:tr>
    </w:tbl>
    <w:p w:rsidR="00701798" w:rsidRPr="00701798" w:rsidRDefault="00701798" w:rsidP="00701798">
      <w:pPr>
        <w:spacing w:after="0"/>
        <w:rPr>
          <w:rFonts w:ascii="Verdana" w:hAnsi="Verdana"/>
          <w:sz w:val="20"/>
          <w:szCs w:val="20"/>
        </w:rPr>
      </w:pPr>
    </w:p>
    <w:p w:rsidR="00701798" w:rsidRPr="00701798" w:rsidRDefault="00701798" w:rsidP="00701798">
      <w:pPr>
        <w:spacing w:after="0"/>
        <w:rPr>
          <w:rFonts w:ascii="Verdana" w:hAnsi="Verdana"/>
          <w:sz w:val="20"/>
          <w:szCs w:val="20"/>
        </w:rPr>
      </w:pPr>
    </w:p>
    <w:tbl>
      <w:tblPr>
        <w:tblStyle w:val="TableGrid"/>
        <w:tblW w:w="0" w:type="auto"/>
        <w:tblLook w:val="04A0" w:firstRow="1" w:lastRow="0" w:firstColumn="1" w:lastColumn="0" w:noHBand="0" w:noVBand="1"/>
      </w:tblPr>
      <w:tblGrid>
        <w:gridCol w:w="6345"/>
        <w:gridCol w:w="3402"/>
      </w:tblGrid>
      <w:tr w:rsidR="00701798" w:rsidTr="007F6B71">
        <w:tc>
          <w:tcPr>
            <w:tcW w:w="9747" w:type="dxa"/>
            <w:gridSpan w:val="2"/>
          </w:tcPr>
          <w:p w:rsidR="00701798" w:rsidRPr="00701798" w:rsidRDefault="00701798" w:rsidP="005A5C28">
            <w:pPr>
              <w:spacing w:after="120"/>
              <w:rPr>
                <w:rFonts w:ascii="Verdana" w:hAnsi="Verdana"/>
                <w:b/>
                <w:bCs/>
              </w:rPr>
            </w:pPr>
            <w:r w:rsidRPr="00701798">
              <w:rPr>
                <w:rFonts w:ascii="Verdana" w:hAnsi="Verdana"/>
                <w:b/>
                <w:bCs/>
              </w:rPr>
              <w:t>4. What is being described in each case?</w:t>
            </w:r>
          </w:p>
        </w:tc>
      </w:tr>
      <w:tr w:rsidR="00701798" w:rsidTr="00030B93">
        <w:tc>
          <w:tcPr>
            <w:tcW w:w="6345" w:type="dxa"/>
          </w:tcPr>
          <w:p w:rsidR="00701798" w:rsidRDefault="00FF7355" w:rsidP="007F6B71">
            <w:pPr>
              <w:rPr>
                <w:rFonts w:ascii="Verdana" w:hAnsi="Verdana"/>
                <w:sz w:val="20"/>
                <w:szCs w:val="20"/>
              </w:rPr>
            </w:pPr>
            <w:r w:rsidRPr="00701798">
              <w:rPr>
                <w:rFonts w:ascii="Verdana" w:hAnsi="Verdana"/>
                <w:sz w:val="20"/>
                <w:szCs w:val="20"/>
              </w:rPr>
              <w:t>These set out the minimum achievement required for the satisfactory completion of the course or module.</w:t>
            </w:r>
          </w:p>
        </w:tc>
        <w:tc>
          <w:tcPr>
            <w:tcW w:w="3402" w:type="dxa"/>
          </w:tcPr>
          <w:p w:rsidR="00701798" w:rsidRPr="00AD0617" w:rsidRDefault="00410BCA" w:rsidP="00701798">
            <w:pPr>
              <w:rPr>
                <w:rFonts w:ascii="Verdana" w:hAnsi="Verdana"/>
                <w:i/>
                <w:iCs/>
                <w:sz w:val="20"/>
                <w:szCs w:val="20"/>
              </w:rPr>
            </w:pPr>
            <w:r w:rsidRPr="00AD0617">
              <w:rPr>
                <w:rFonts w:ascii="Verdana" w:hAnsi="Verdana"/>
                <w:i/>
                <w:iCs/>
                <w:sz w:val="20"/>
                <w:szCs w:val="20"/>
              </w:rPr>
              <w:t>Learning Outcomes</w:t>
            </w:r>
          </w:p>
        </w:tc>
      </w:tr>
      <w:tr w:rsidR="00701798" w:rsidTr="00030B93">
        <w:tc>
          <w:tcPr>
            <w:tcW w:w="6345" w:type="dxa"/>
          </w:tcPr>
          <w:p w:rsidR="00701798" w:rsidRDefault="00FF7355" w:rsidP="00FF7355">
            <w:pPr>
              <w:rPr>
                <w:rFonts w:ascii="Verdana" w:hAnsi="Verdana"/>
                <w:sz w:val="20"/>
                <w:szCs w:val="20"/>
              </w:rPr>
            </w:pPr>
            <w:r w:rsidRPr="00701798">
              <w:rPr>
                <w:rFonts w:ascii="Verdana" w:hAnsi="Verdana"/>
                <w:sz w:val="20"/>
                <w:szCs w:val="20"/>
              </w:rPr>
              <w:t>This document "reflects the assessment decisions that have been made by the course team in order that the principles and purposes of assessment are addressed".</w:t>
            </w:r>
          </w:p>
        </w:tc>
        <w:tc>
          <w:tcPr>
            <w:tcW w:w="3402" w:type="dxa"/>
          </w:tcPr>
          <w:p w:rsidR="00701798" w:rsidRPr="00AD0617" w:rsidRDefault="00410BCA" w:rsidP="00701798">
            <w:pPr>
              <w:rPr>
                <w:rFonts w:ascii="Verdana" w:hAnsi="Verdana"/>
                <w:i/>
                <w:iCs/>
                <w:sz w:val="20"/>
                <w:szCs w:val="20"/>
              </w:rPr>
            </w:pPr>
            <w:r w:rsidRPr="00AD0617">
              <w:rPr>
                <w:rFonts w:ascii="Verdana" w:hAnsi="Verdana"/>
                <w:i/>
                <w:iCs/>
                <w:sz w:val="20"/>
                <w:szCs w:val="20"/>
              </w:rPr>
              <w:t>Course Assessment Strategy</w:t>
            </w:r>
          </w:p>
        </w:tc>
      </w:tr>
      <w:tr w:rsidR="00701798" w:rsidTr="00030B93">
        <w:tc>
          <w:tcPr>
            <w:tcW w:w="6345" w:type="dxa"/>
          </w:tcPr>
          <w:p w:rsidR="00701798" w:rsidRDefault="00701798" w:rsidP="007F6B71">
            <w:pPr>
              <w:rPr>
                <w:rFonts w:ascii="Verdana" w:hAnsi="Verdana"/>
                <w:sz w:val="20"/>
                <w:szCs w:val="20"/>
              </w:rPr>
            </w:pPr>
            <w:r w:rsidRPr="00701798">
              <w:rPr>
                <w:rFonts w:ascii="Verdana" w:hAnsi="Verdana"/>
                <w:sz w:val="20"/>
                <w:szCs w:val="20"/>
              </w:rPr>
              <w:t>Its purpose is to facilitate dialogue between the Dean of a School, relevant School staff and students... about the student academic experience within the School.</w:t>
            </w:r>
          </w:p>
        </w:tc>
        <w:tc>
          <w:tcPr>
            <w:tcW w:w="3402" w:type="dxa"/>
          </w:tcPr>
          <w:p w:rsidR="00701798" w:rsidRPr="00AD0617" w:rsidRDefault="00410BCA" w:rsidP="00701798">
            <w:pPr>
              <w:rPr>
                <w:rFonts w:ascii="Verdana" w:hAnsi="Verdana"/>
                <w:i/>
                <w:iCs/>
                <w:sz w:val="20"/>
                <w:szCs w:val="20"/>
              </w:rPr>
            </w:pPr>
            <w:r w:rsidRPr="00AD0617">
              <w:rPr>
                <w:rFonts w:ascii="Verdana" w:hAnsi="Verdana"/>
                <w:i/>
                <w:iCs/>
                <w:sz w:val="20"/>
                <w:szCs w:val="20"/>
              </w:rPr>
              <w:t>School Forum</w:t>
            </w:r>
          </w:p>
        </w:tc>
      </w:tr>
      <w:tr w:rsidR="00FF7355" w:rsidTr="00030B93">
        <w:tc>
          <w:tcPr>
            <w:tcW w:w="6345" w:type="dxa"/>
          </w:tcPr>
          <w:p w:rsidR="00FF7355" w:rsidRPr="00701798" w:rsidRDefault="00FF7355" w:rsidP="007F6B71">
            <w:pPr>
              <w:rPr>
                <w:rFonts w:ascii="Verdana" w:hAnsi="Verdana"/>
                <w:sz w:val="20"/>
                <w:szCs w:val="20"/>
              </w:rPr>
            </w:pPr>
            <w:r>
              <w:rPr>
                <w:rFonts w:ascii="Verdana" w:hAnsi="Verdana"/>
                <w:sz w:val="20"/>
                <w:szCs w:val="20"/>
              </w:rPr>
              <w:t>This department can help course leaders with aspects of their professional development.</w:t>
            </w:r>
          </w:p>
        </w:tc>
        <w:tc>
          <w:tcPr>
            <w:tcW w:w="3402" w:type="dxa"/>
          </w:tcPr>
          <w:p w:rsidR="00FF7355" w:rsidRPr="00AD0617" w:rsidRDefault="00410BCA" w:rsidP="00701798">
            <w:pPr>
              <w:rPr>
                <w:rFonts w:ascii="Verdana" w:hAnsi="Verdana"/>
                <w:i/>
                <w:iCs/>
                <w:sz w:val="20"/>
                <w:szCs w:val="20"/>
              </w:rPr>
            </w:pPr>
            <w:r w:rsidRPr="00AD0617">
              <w:rPr>
                <w:rFonts w:ascii="Verdana" w:hAnsi="Verdana"/>
                <w:i/>
                <w:iCs/>
                <w:sz w:val="20"/>
                <w:szCs w:val="20"/>
              </w:rPr>
              <w:t>CPLD</w:t>
            </w:r>
          </w:p>
        </w:tc>
      </w:tr>
      <w:tr w:rsidR="00FF7355" w:rsidTr="00030B93">
        <w:tc>
          <w:tcPr>
            <w:tcW w:w="6345" w:type="dxa"/>
          </w:tcPr>
          <w:p w:rsidR="00FF7355" w:rsidRDefault="00FF7355" w:rsidP="007F6B71">
            <w:pPr>
              <w:rPr>
                <w:rFonts w:ascii="Verdana" w:hAnsi="Verdana"/>
                <w:sz w:val="20"/>
                <w:szCs w:val="20"/>
              </w:rPr>
            </w:pPr>
            <w:r>
              <w:rPr>
                <w:rFonts w:ascii="Verdana" w:hAnsi="Verdana"/>
                <w:sz w:val="20"/>
                <w:szCs w:val="20"/>
              </w:rPr>
              <w:t>This department can support course leaders and teams with aspects of running a course and with course changes.</w:t>
            </w:r>
          </w:p>
        </w:tc>
        <w:tc>
          <w:tcPr>
            <w:tcW w:w="3402" w:type="dxa"/>
          </w:tcPr>
          <w:p w:rsidR="00FF7355" w:rsidRPr="00AD0617" w:rsidRDefault="00410BCA" w:rsidP="00701798">
            <w:pPr>
              <w:rPr>
                <w:rFonts w:ascii="Verdana" w:hAnsi="Verdana"/>
                <w:i/>
                <w:iCs/>
                <w:sz w:val="20"/>
                <w:szCs w:val="20"/>
              </w:rPr>
            </w:pPr>
            <w:r w:rsidRPr="00AD0617">
              <w:rPr>
                <w:rFonts w:ascii="Verdana" w:hAnsi="Verdana"/>
                <w:i/>
                <w:iCs/>
                <w:sz w:val="20"/>
                <w:szCs w:val="20"/>
              </w:rPr>
              <w:t>CADQ</w:t>
            </w:r>
          </w:p>
        </w:tc>
      </w:tr>
    </w:tbl>
    <w:p w:rsidR="00701798" w:rsidRDefault="00701798" w:rsidP="00701798">
      <w:pPr>
        <w:spacing w:after="0"/>
        <w:rPr>
          <w:rFonts w:ascii="Verdana" w:hAnsi="Verdana"/>
          <w:sz w:val="20"/>
          <w:szCs w:val="20"/>
        </w:rPr>
      </w:pPr>
    </w:p>
    <w:p w:rsidR="00701798" w:rsidRPr="00701798" w:rsidRDefault="00701798" w:rsidP="00701798">
      <w:pPr>
        <w:spacing w:after="0"/>
        <w:rPr>
          <w:rFonts w:ascii="Verdana" w:hAnsi="Verdana"/>
          <w:sz w:val="20"/>
          <w:szCs w:val="20"/>
        </w:rPr>
      </w:pPr>
    </w:p>
    <w:tbl>
      <w:tblPr>
        <w:tblStyle w:val="TableGrid"/>
        <w:tblW w:w="0" w:type="auto"/>
        <w:tblLook w:val="04A0" w:firstRow="1" w:lastRow="0" w:firstColumn="1" w:lastColumn="0" w:noHBand="0" w:noVBand="1"/>
      </w:tblPr>
      <w:tblGrid>
        <w:gridCol w:w="8897"/>
        <w:gridCol w:w="850"/>
      </w:tblGrid>
      <w:tr w:rsidR="00701798" w:rsidRPr="00701798" w:rsidTr="007F6B71">
        <w:tc>
          <w:tcPr>
            <w:tcW w:w="8897" w:type="dxa"/>
          </w:tcPr>
          <w:p w:rsidR="00701798" w:rsidRPr="00FF7355" w:rsidRDefault="00701798" w:rsidP="00FF7355">
            <w:pPr>
              <w:spacing w:line="360" w:lineRule="auto"/>
              <w:rPr>
                <w:rFonts w:ascii="Verdana" w:hAnsi="Verdana"/>
                <w:b/>
                <w:bCs/>
              </w:rPr>
            </w:pPr>
            <w:r w:rsidRPr="00701798">
              <w:rPr>
                <w:rFonts w:ascii="Verdana" w:hAnsi="Verdana"/>
                <w:b/>
                <w:bCs/>
              </w:rPr>
              <w:t xml:space="preserve">5. Which of the </w:t>
            </w:r>
            <w:r w:rsidR="007F6B71">
              <w:rPr>
                <w:rFonts w:ascii="Verdana" w:hAnsi="Verdana"/>
                <w:b/>
                <w:bCs/>
              </w:rPr>
              <w:t>following</w:t>
            </w:r>
            <w:r w:rsidRPr="00701798">
              <w:rPr>
                <w:rFonts w:ascii="Verdana" w:hAnsi="Verdana"/>
                <w:b/>
                <w:bCs/>
              </w:rPr>
              <w:t xml:space="preserve"> are officially part of a Course Leader's role?</w:t>
            </w:r>
          </w:p>
        </w:tc>
        <w:tc>
          <w:tcPr>
            <w:tcW w:w="850" w:type="dxa"/>
          </w:tcPr>
          <w:p w:rsidR="00701798" w:rsidRPr="00701798" w:rsidRDefault="00701798" w:rsidP="007F6B71">
            <w:pPr>
              <w:rPr>
                <w:rFonts w:ascii="Verdana" w:hAnsi="Verdana"/>
                <w:sz w:val="20"/>
                <w:szCs w:val="20"/>
              </w:rPr>
            </w:pPr>
            <w:r>
              <w:rPr>
                <w:rFonts w:ascii="Verdana" w:hAnsi="Verdana"/>
                <w:sz w:val="20"/>
                <w:szCs w:val="20"/>
              </w:rPr>
              <w:t xml:space="preserve">√ </w:t>
            </w:r>
            <w:r w:rsidR="007F6B71">
              <w:rPr>
                <w:rFonts w:ascii="Verdana" w:hAnsi="Verdana"/>
                <w:sz w:val="20"/>
                <w:szCs w:val="20"/>
              </w:rPr>
              <w:t>/</w:t>
            </w:r>
            <w:r>
              <w:rPr>
                <w:rFonts w:ascii="Verdana" w:hAnsi="Verdana"/>
                <w:sz w:val="20"/>
                <w:szCs w:val="20"/>
              </w:rPr>
              <w:t xml:space="preserve"> X</w:t>
            </w:r>
          </w:p>
        </w:tc>
      </w:tr>
      <w:tr w:rsidR="00701798" w:rsidRPr="00701798" w:rsidTr="007F6B71">
        <w:tc>
          <w:tcPr>
            <w:tcW w:w="8897" w:type="dxa"/>
          </w:tcPr>
          <w:p w:rsidR="00701798" w:rsidRPr="00701798" w:rsidRDefault="00701798" w:rsidP="00FF7355">
            <w:pPr>
              <w:spacing w:line="360" w:lineRule="auto"/>
              <w:rPr>
                <w:rFonts w:ascii="Verdana" w:hAnsi="Verdana"/>
                <w:sz w:val="20"/>
                <w:szCs w:val="20"/>
              </w:rPr>
            </w:pPr>
            <w:r w:rsidRPr="00701798">
              <w:rPr>
                <w:rFonts w:ascii="Verdana" w:hAnsi="Verdana"/>
                <w:sz w:val="20"/>
                <w:szCs w:val="20"/>
              </w:rPr>
              <w:t xml:space="preserve">Provide academic leadership for the course </w:t>
            </w:r>
            <w:r w:rsidR="005A5C28" w:rsidRPr="005A5C28">
              <w:rPr>
                <w:rFonts w:ascii="Verdana" w:hAnsi="Verdana"/>
                <w:sz w:val="16"/>
                <w:szCs w:val="16"/>
              </w:rPr>
              <w:t>(course leader role descriptor)</w:t>
            </w:r>
          </w:p>
        </w:tc>
        <w:tc>
          <w:tcPr>
            <w:tcW w:w="850" w:type="dxa"/>
          </w:tcPr>
          <w:p w:rsidR="00701798" w:rsidRPr="00701798" w:rsidRDefault="00410BCA" w:rsidP="00B34AEA">
            <w:pPr>
              <w:rPr>
                <w:rFonts w:ascii="Verdana" w:hAnsi="Verdana"/>
                <w:sz w:val="20"/>
                <w:szCs w:val="20"/>
              </w:rPr>
            </w:pPr>
            <w:r>
              <w:rPr>
                <w:rFonts w:ascii="Verdana" w:hAnsi="Verdana"/>
                <w:sz w:val="20"/>
                <w:szCs w:val="20"/>
              </w:rPr>
              <w:t>√</w:t>
            </w:r>
          </w:p>
        </w:tc>
      </w:tr>
      <w:tr w:rsidR="00701798" w:rsidRPr="00701798" w:rsidTr="007F6B71">
        <w:tc>
          <w:tcPr>
            <w:tcW w:w="8897" w:type="dxa"/>
          </w:tcPr>
          <w:p w:rsidR="00701798" w:rsidRPr="00701798" w:rsidRDefault="00701798" w:rsidP="00FF7355">
            <w:pPr>
              <w:spacing w:line="360" w:lineRule="auto"/>
              <w:rPr>
                <w:rFonts w:ascii="Verdana" w:hAnsi="Verdana"/>
                <w:sz w:val="20"/>
                <w:szCs w:val="20"/>
              </w:rPr>
            </w:pPr>
            <w:r w:rsidRPr="00701798">
              <w:rPr>
                <w:rFonts w:ascii="Verdana" w:hAnsi="Verdana"/>
                <w:sz w:val="20"/>
                <w:szCs w:val="20"/>
              </w:rPr>
              <w:t xml:space="preserve">Perform a dance routine at course committee meetings </w:t>
            </w:r>
            <w:r w:rsidRPr="00701798">
              <w:rPr>
                <w:rFonts w:ascii="Verdana" w:hAnsi="Verdana"/>
                <w:sz w:val="20"/>
                <w:szCs w:val="20"/>
              </w:rPr>
              <w:tab/>
            </w:r>
          </w:p>
        </w:tc>
        <w:tc>
          <w:tcPr>
            <w:tcW w:w="850" w:type="dxa"/>
          </w:tcPr>
          <w:p w:rsidR="00701798" w:rsidRPr="00701798" w:rsidRDefault="00410BCA" w:rsidP="00B34AEA">
            <w:pPr>
              <w:rPr>
                <w:rFonts w:ascii="Verdana" w:hAnsi="Verdana"/>
                <w:sz w:val="20"/>
                <w:szCs w:val="20"/>
              </w:rPr>
            </w:pPr>
            <w:r>
              <w:rPr>
                <w:rFonts w:ascii="Verdana" w:hAnsi="Verdana"/>
                <w:sz w:val="20"/>
                <w:szCs w:val="20"/>
              </w:rPr>
              <w:t>x</w:t>
            </w:r>
          </w:p>
        </w:tc>
      </w:tr>
      <w:tr w:rsidR="00701798" w:rsidRPr="00701798" w:rsidTr="007F6B71">
        <w:tc>
          <w:tcPr>
            <w:tcW w:w="8897" w:type="dxa"/>
          </w:tcPr>
          <w:p w:rsidR="00701798" w:rsidRPr="00701798" w:rsidRDefault="00701798" w:rsidP="005A5C28">
            <w:pPr>
              <w:spacing w:line="360" w:lineRule="auto"/>
              <w:rPr>
                <w:rFonts w:ascii="Verdana" w:hAnsi="Verdana"/>
                <w:sz w:val="20"/>
                <w:szCs w:val="20"/>
              </w:rPr>
            </w:pPr>
            <w:r w:rsidRPr="00701798">
              <w:rPr>
                <w:rFonts w:ascii="Verdana" w:hAnsi="Verdana"/>
                <w:sz w:val="20"/>
                <w:szCs w:val="20"/>
              </w:rPr>
              <w:t xml:space="preserve">Monitor progression, achievement and retention across the course </w:t>
            </w:r>
            <w:r w:rsidR="005A5C28" w:rsidRPr="005A5C28">
              <w:rPr>
                <w:rFonts w:ascii="Verdana" w:hAnsi="Verdana"/>
                <w:sz w:val="16"/>
                <w:szCs w:val="16"/>
              </w:rPr>
              <w:t>(</w:t>
            </w:r>
            <w:r w:rsidR="005A5C28">
              <w:rPr>
                <w:rFonts w:ascii="Verdana" w:hAnsi="Verdana"/>
                <w:sz w:val="16"/>
                <w:szCs w:val="16"/>
              </w:rPr>
              <w:t>CL</w:t>
            </w:r>
            <w:r w:rsidR="005A5C28" w:rsidRPr="005A5C28">
              <w:rPr>
                <w:rFonts w:ascii="Verdana" w:hAnsi="Verdana"/>
                <w:sz w:val="16"/>
                <w:szCs w:val="16"/>
              </w:rPr>
              <w:t xml:space="preserve"> role descriptor)</w:t>
            </w:r>
          </w:p>
        </w:tc>
        <w:tc>
          <w:tcPr>
            <w:tcW w:w="850" w:type="dxa"/>
          </w:tcPr>
          <w:p w:rsidR="00701798" w:rsidRPr="00701798" w:rsidRDefault="00410BCA" w:rsidP="00B34AEA">
            <w:pPr>
              <w:rPr>
                <w:rFonts w:ascii="Verdana" w:hAnsi="Verdana"/>
                <w:sz w:val="20"/>
                <w:szCs w:val="20"/>
              </w:rPr>
            </w:pPr>
            <w:r>
              <w:rPr>
                <w:rFonts w:ascii="Verdana" w:hAnsi="Verdana"/>
                <w:sz w:val="20"/>
                <w:szCs w:val="20"/>
              </w:rPr>
              <w:t>√</w:t>
            </w:r>
          </w:p>
        </w:tc>
      </w:tr>
      <w:tr w:rsidR="00701798" w:rsidRPr="00701798" w:rsidTr="007F6B71">
        <w:tc>
          <w:tcPr>
            <w:tcW w:w="8897" w:type="dxa"/>
          </w:tcPr>
          <w:p w:rsidR="00701798" w:rsidRPr="00701798" w:rsidRDefault="007231F2" w:rsidP="00FF7355">
            <w:pPr>
              <w:rPr>
                <w:rFonts w:ascii="Verdana" w:hAnsi="Verdana"/>
                <w:sz w:val="20"/>
                <w:szCs w:val="20"/>
              </w:rPr>
            </w:pPr>
            <w:r>
              <w:rPr>
                <w:rFonts w:ascii="Verdana" w:hAnsi="Verdana"/>
                <w:sz w:val="20"/>
                <w:szCs w:val="20"/>
              </w:rPr>
              <w:t>M</w:t>
            </w:r>
            <w:r w:rsidRPr="007231F2">
              <w:rPr>
                <w:rFonts w:ascii="Verdana" w:hAnsi="Verdana"/>
                <w:sz w:val="20"/>
                <w:szCs w:val="20"/>
              </w:rPr>
              <w:t>aintain oversight of marking matrices at each level to ensure consistency, clarity and approp</w:t>
            </w:r>
            <w:r>
              <w:rPr>
                <w:rFonts w:ascii="Verdana" w:hAnsi="Verdana"/>
                <w:sz w:val="20"/>
                <w:szCs w:val="20"/>
              </w:rPr>
              <w:t>riate contextualisation to task</w:t>
            </w:r>
            <w:r w:rsidR="005A5C28">
              <w:rPr>
                <w:rFonts w:ascii="Verdana" w:hAnsi="Verdana"/>
                <w:sz w:val="20"/>
                <w:szCs w:val="20"/>
              </w:rPr>
              <w:t xml:space="preserve"> </w:t>
            </w:r>
            <w:r w:rsidR="005A5C28" w:rsidRPr="005A5C28">
              <w:rPr>
                <w:rFonts w:ascii="Verdana" w:hAnsi="Verdana"/>
                <w:sz w:val="16"/>
                <w:szCs w:val="16"/>
              </w:rPr>
              <w:t>(Quality Handbook)</w:t>
            </w:r>
          </w:p>
        </w:tc>
        <w:tc>
          <w:tcPr>
            <w:tcW w:w="850" w:type="dxa"/>
          </w:tcPr>
          <w:p w:rsidR="00701798" w:rsidRPr="00701798" w:rsidRDefault="00410BCA" w:rsidP="00B34AEA">
            <w:pPr>
              <w:rPr>
                <w:rFonts w:ascii="Verdana" w:hAnsi="Verdana"/>
                <w:sz w:val="20"/>
                <w:szCs w:val="20"/>
              </w:rPr>
            </w:pPr>
            <w:r>
              <w:rPr>
                <w:rFonts w:ascii="Verdana" w:hAnsi="Verdana"/>
                <w:sz w:val="20"/>
                <w:szCs w:val="20"/>
              </w:rPr>
              <w:t>√</w:t>
            </w:r>
          </w:p>
        </w:tc>
      </w:tr>
      <w:tr w:rsidR="0097530C" w:rsidRPr="00701798" w:rsidTr="007F6B71">
        <w:tc>
          <w:tcPr>
            <w:tcW w:w="8897" w:type="dxa"/>
          </w:tcPr>
          <w:p w:rsidR="0097530C" w:rsidRPr="00701798" w:rsidRDefault="0097530C" w:rsidP="00FF7355">
            <w:pPr>
              <w:spacing w:line="360" w:lineRule="auto"/>
              <w:rPr>
                <w:rFonts w:ascii="Verdana" w:hAnsi="Verdana"/>
                <w:sz w:val="20"/>
                <w:szCs w:val="20"/>
              </w:rPr>
            </w:pPr>
            <w:r>
              <w:rPr>
                <w:rFonts w:ascii="Verdana" w:hAnsi="Verdana"/>
                <w:sz w:val="20"/>
                <w:szCs w:val="20"/>
              </w:rPr>
              <w:t xml:space="preserve">Organise a minimum of two course team </w:t>
            </w:r>
            <w:r w:rsidR="00FF7355">
              <w:rPr>
                <w:rFonts w:ascii="Verdana" w:hAnsi="Verdana"/>
                <w:sz w:val="20"/>
                <w:szCs w:val="20"/>
              </w:rPr>
              <w:t>social events per academic year</w:t>
            </w:r>
          </w:p>
        </w:tc>
        <w:tc>
          <w:tcPr>
            <w:tcW w:w="850" w:type="dxa"/>
          </w:tcPr>
          <w:p w:rsidR="0097530C" w:rsidRPr="00701798" w:rsidRDefault="00410BCA" w:rsidP="00B34AEA">
            <w:pPr>
              <w:rPr>
                <w:rFonts w:ascii="Verdana" w:hAnsi="Verdana"/>
                <w:sz w:val="20"/>
                <w:szCs w:val="20"/>
              </w:rPr>
            </w:pPr>
            <w:r>
              <w:rPr>
                <w:rFonts w:ascii="Verdana" w:hAnsi="Verdana"/>
                <w:sz w:val="20"/>
                <w:szCs w:val="20"/>
              </w:rPr>
              <w:t>x</w:t>
            </w:r>
          </w:p>
        </w:tc>
      </w:tr>
      <w:tr w:rsidR="00701798" w:rsidRPr="00701798" w:rsidTr="007F6B71">
        <w:tc>
          <w:tcPr>
            <w:tcW w:w="8897" w:type="dxa"/>
          </w:tcPr>
          <w:p w:rsidR="00701798" w:rsidRPr="00701798" w:rsidRDefault="00701798" w:rsidP="00FF7355">
            <w:pPr>
              <w:spacing w:line="360" w:lineRule="auto"/>
              <w:rPr>
                <w:rFonts w:ascii="Verdana" w:hAnsi="Verdana"/>
                <w:sz w:val="20"/>
                <w:szCs w:val="20"/>
              </w:rPr>
            </w:pPr>
            <w:r w:rsidRPr="00701798">
              <w:rPr>
                <w:rFonts w:ascii="Verdana" w:hAnsi="Verdana"/>
                <w:sz w:val="20"/>
                <w:szCs w:val="20"/>
              </w:rPr>
              <w:t xml:space="preserve">Provide each graduating student with a personalised cupcake </w:t>
            </w:r>
            <w:r w:rsidRPr="00701798">
              <w:rPr>
                <w:rFonts w:ascii="Verdana" w:hAnsi="Verdana"/>
                <w:sz w:val="20"/>
                <w:szCs w:val="20"/>
              </w:rPr>
              <w:tab/>
            </w:r>
          </w:p>
        </w:tc>
        <w:tc>
          <w:tcPr>
            <w:tcW w:w="850" w:type="dxa"/>
          </w:tcPr>
          <w:p w:rsidR="00701798" w:rsidRPr="00701798" w:rsidRDefault="00410BCA" w:rsidP="00B34AEA">
            <w:pPr>
              <w:rPr>
                <w:rFonts w:ascii="Verdana" w:hAnsi="Verdana"/>
                <w:sz w:val="20"/>
                <w:szCs w:val="20"/>
              </w:rPr>
            </w:pPr>
            <w:r>
              <w:rPr>
                <w:rFonts w:ascii="Verdana" w:hAnsi="Verdana"/>
                <w:sz w:val="20"/>
                <w:szCs w:val="20"/>
              </w:rPr>
              <w:t>x</w:t>
            </w:r>
          </w:p>
        </w:tc>
      </w:tr>
      <w:tr w:rsidR="00701798" w:rsidRPr="00701798" w:rsidTr="007F6B71">
        <w:tc>
          <w:tcPr>
            <w:tcW w:w="8897" w:type="dxa"/>
          </w:tcPr>
          <w:p w:rsidR="00701798" w:rsidRPr="00701798" w:rsidRDefault="00701798" w:rsidP="00FF7355">
            <w:pPr>
              <w:spacing w:line="360" w:lineRule="auto"/>
              <w:rPr>
                <w:rFonts w:ascii="Verdana" w:hAnsi="Verdana"/>
                <w:sz w:val="20"/>
                <w:szCs w:val="20"/>
              </w:rPr>
            </w:pPr>
            <w:r w:rsidRPr="00701798">
              <w:rPr>
                <w:rFonts w:ascii="Verdana" w:hAnsi="Verdana"/>
                <w:sz w:val="20"/>
                <w:szCs w:val="20"/>
              </w:rPr>
              <w:t>Act as the Notification of Exceptional Circumstances contact</w:t>
            </w:r>
            <w:r w:rsidR="005A5C28">
              <w:rPr>
                <w:rFonts w:ascii="Verdana" w:hAnsi="Verdana"/>
                <w:sz w:val="20"/>
                <w:szCs w:val="20"/>
              </w:rPr>
              <w:t xml:space="preserve"> </w:t>
            </w:r>
            <w:r w:rsidR="005A5C28" w:rsidRPr="005A5C28">
              <w:rPr>
                <w:rFonts w:ascii="Verdana" w:hAnsi="Verdana"/>
                <w:sz w:val="16"/>
                <w:szCs w:val="16"/>
              </w:rPr>
              <w:t>(</w:t>
            </w:r>
            <w:r w:rsidR="005A5C28">
              <w:rPr>
                <w:rFonts w:ascii="Verdana" w:hAnsi="Verdana"/>
                <w:sz w:val="16"/>
                <w:szCs w:val="16"/>
              </w:rPr>
              <w:t>CL</w:t>
            </w:r>
            <w:r w:rsidR="005A5C28" w:rsidRPr="005A5C28">
              <w:rPr>
                <w:rFonts w:ascii="Verdana" w:hAnsi="Verdana"/>
                <w:sz w:val="16"/>
                <w:szCs w:val="16"/>
              </w:rPr>
              <w:t xml:space="preserve"> role descriptor)</w:t>
            </w:r>
          </w:p>
        </w:tc>
        <w:tc>
          <w:tcPr>
            <w:tcW w:w="850" w:type="dxa"/>
          </w:tcPr>
          <w:p w:rsidR="00701798" w:rsidRPr="00701798" w:rsidRDefault="00410BCA" w:rsidP="00B34AEA">
            <w:pPr>
              <w:rPr>
                <w:rFonts w:ascii="Verdana" w:hAnsi="Verdana"/>
                <w:sz w:val="20"/>
                <w:szCs w:val="20"/>
              </w:rPr>
            </w:pPr>
            <w:r>
              <w:rPr>
                <w:rFonts w:ascii="Verdana" w:hAnsi="Verdana"/>
                <w:sz w:val="20"/>
                <w:szCs w:val="20"/>
              </w:rPr>
              <w:t>√</w:t>
            </w:r>
          </w:p>
        </w:tc>
      </w:tr>
    </w:tbl>
    <w:p w:rsidR="003071D5" w:rsidRDefault="00701798" w:rsidP="00582343">
      <w:pPr>
        <w:spacing w:after="0"/>
        <w:rPr>
          <w:rFonts w:ascii="Verdana" w:hAnsi="Verdana"/>
          <w:sz w:val="20"/>
          <w:szCs w:val="20"/>
        </w:rPr>
      </w:pPr>
      <w:r w:rsidRPr="00701798">
        <w:rPr>
          <w:rFonts w:ascii="Verdana" w:hAnsi="Verdana"/>
          <w:sz w:val="20"/>
          <w:szCs w:val="20"/>
        </w:rPr>
        <w:tab/>
      </w:r>
    </w:p>
    <w:p w:rsidR="003071D5" w:rsidRPr="003071D5" w:rsidRDefault="003071D5" w:rsidP="003071D5">
      <w:pPr>
        <w:rPr>
          <w:rFonts w:ascii="Verdana" w:hAnsi="Verdana"/>
          <w:sz w:val="20"/>
          <w:szCs w:val="20"/>
        </w:rPr>
      </w:pPr>
      <w:r w:rsidRPr="003071D5">
        <w:rPr>
          <w:rFonts w:ascii="Verdana" w:hAnsi="Verdana"/>
          <w:sz w:val="20"/>
          <w:szCs w:val="20"/>
        </w:rPr>
        <w:lastRenderedPageBreak/>
        <w:t>NTU Graduate Attributes</w:t>
      </w:r>
      <w:r w:rsidR="00AD0617">
        <w:rPr>
          <w:rFonts w:ascii="Verdana" w:hAnsi="Verdana"/>
          <w:sz w:val="20"/>
          <w:szCs w:val="20"/>
        </w:rPr>
        <w:t xml:space="preserve"> (from Strategic Plan 2010-15)</w:t>
      </w:r>
    </w:p>
    <w:p w:rsidR="003071D5" w:rsidRPr="003071D5" w:rsidRDefault="003071D5" w:rsidP="00AD0617">
      <w:pPr>
        <w:tabs>
          <w:tab w:val="left" w:pos="8364"/>
        </w:tabs>
        <w:rPr>
          <w:rFonts w:ascii="Verdana" w:hAnsi="Verdana"/>
          <w:sz w:val="20"/>
          <w:szCs w:val="20"/>
        </w:rPr>
      </w:pPr>
      <w:r w:rsidRPr="003071D5">
        <w:rPr>
          <w:rFonts w:ascii="Verdana" w:hAnsi="Verdana"/>
          <w:sz w:val="20"/>
          <w:szCs w:val="20"/>
        </w:rPr>
        <w:t>Intellectual Agility</w:t>
      </w:r>
    </w:p>
    <w:p w:rsidR="003071D5" w:rsidRPr="00AD0617" w:rsidRDefault="003071D5" w:rsidP="00AD0617">
      <w:pPr>
        <w:pStyle w:val="ListParagraph"/>
        <w:numPr>
          <w:ilvl w:val="0"/>
          <w:numId w:val="1"/>
        </w:numPr>
        <w:rPr>
          <w:rFonts w:ascii="Verdana" w:hAnsi="Verdana"/>
          <w:sz w:val="20"/>
          <w:szCs w:val="20"/>
        </w:rPr>
      </w:pPr>
      <w:r w:rsidRPr="00AD0617">
        <w:rPr>
          <w:rFonts w:ascii="Verdana" w:hAnsi="Verdana"/>
          <w:sz w:val="20"/>
          <w:szCs w:val="20"/>
        </w:rPr>
        <w:t>Extensive understanding of their chosen profession or discipline, including the associated practices, technologies, research, methodologies, values and ethics.</w:t>
      </w:r>
    </w:p>
    <w:p w:rsidR="003071D5" w:rsidRPr="00AD0617" w:rsidRDefault="003071D5" w:rsidP="00AD0617">
      <w:pPr>
        <w:pStyle w:val="ListParagraph"/>
        <w:numPr>
          <w:ilvl w:val="0"/>
          <w:numId w:val="1"/>
        </w:numPr>
        <w:rPr>
          <w:rFonts w:ascii="Verdana" w:hAnsi="Verdana"/>
          <w:sz w:val="20"/>
          <w:szCs w:val="20"/>
        </w:rPr>
      </w:pPr>
      <w:r w:rsidRPr="00AD0617">
        <w:rPr>
          <w:rFonts w:ascii="Verdana" w:hAnsi="Verdana"/>
          <w:sz w:val="20"/>
          <w:szCs w:val="20"/>
        </w:rPr>
        <w:t>Aptitude for independent, critical thought and rational inquiry, alongside the capacity for analysis and problem-solving in multiple contexts.</w:t>
      </w:r>
    </w:p>
    <w:p w:rsidR="003071D5" w:rsidRPr="00AD0617" w:rsidRDefault="003071D5" w:rsidP="00AD0617">
      <w:pPr>
        <w:pStyle w:val="ListParagraph"/>
        <w:numPr>
          <w:ilvl w:val="0"/>
          <w:numId w:val="1"/>
        </w:numPr>
        <w:rPr>
          <w:rFonts w:ascii="Verdana" w:hAnsi="Verdana"/>
          <w:sz w:val="20"/>
          <w:szCs w:val="20"/>
        </w:rPr>
      </w:pPr>
      <w:r w:rsidRPr="00AD0617">
        <w:rPr>
          <w:rFonts w:ascii="Verdana" w:hAnsi="Verdana"/>
          <w:sz w:val="20"/>
          <w:szCs w:val="20"/>
        </w:rPr>
        <w:t xml:space="preserve">An enterprising and creative </w:t>
      </w:r>
      <w:proofErr w:type="spellStart"/>
      <w:r w:rsidRPr="00AD0617">
        <w:rPr>
          <w:rFonts w:ascii="Verdana" w:hAnsi="Verdana"/>
          <w:sz w:val="20"/>
          <w:szCs w:val="20"/>
        </w:rPr>
        <w:t>mindset</w:t>
      </w:r>
      <w:proofErr w:type="spellEnd"/>
      <w:r w:rsidRPr="00AD0617">
        <w:rPr>
          <w:rFonts w:ascii="Verdana" w:hAnsi="Verdana"/>
          <w:sz w:val="20"/>
          <w:szCs w:val="20"/>
        </w:rPr>
        <w:t>, able to thrive in rapidly changing work and social environments.</w:t>
      </w:r>
    </w:p>
    <w:p w:rsidR="003071D5" w:rsidRPr="00AD0617" w:rsidRDefault="003071D5" w:rsidP="00AD0617">
      <w:pPr>
        <w:pStyle w:val="ListParagraph"/>
        <w:numPr>
          <w:ilvl w:val="0"/>
          <w:numId w:val="1"/>
        </w:numPr>
        <w:rPr>
          <w:rFonts w:ascii="Verdana" w:hAnsi="Verdana"/>
          <w:sz w:val="20"/>
          <w:szCs w:val="20"/>
        </w:rPr>
      </w:pPr>
      <w:r w:rsidRPr="00AD0617">
        <w:rPr>
          <w:rFonts w:ascii="Verdana" w:hAnsi="Verdana"/>
          <w:sz w:val="20"/>
          <w:szCs w:val="20"/>
        </w:rPr>
        <w:t>Intellectual curiosity, enthusiasm for learning and an aptitude for self-directed learning.</w:t>
      </w:r>
    </w:p>
    <w:p w:rsidR="003071D5" w:rsidRPr="003071D5" w:rsidRDefault="003071D5" w:rsidP="003071D5">
      <w:pPr>
        <w:rPr>
          <w:rFonts w:ascii="Verdana" w:hAnsi="Verdana"/>
          <w:sz w:val="20"/>
          <w:szCs w:val="20"/>
        </w:rPr>
      </w:pPr>
      <w:r w:rsidRPr="003071D5">
        <w:rPr>
          <w:rFonts w:ascii="Verdana" w:hAnsi="Verdana"/>
          <w:sz w:val="20"/>
          <w:szCs w:val="20"/>
        </w:rPr>
        <w:t>Information, Communication and Organisational Skills</w:t>
      </w:r>
    </w:p>
    <w:p w:rsidR="003071D5"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Proficiency in finding, evaluating, analysing and applying data.</w:t>
      </w:r>
    </w:p>
    <w:p w:rsidR="003071D5"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Digital literacy and the ability to use ICT effectively.</w:t>
      </w:r>
    </w:p>
    <w:p w:rsidR="003071D5"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Effective communication skills in spoken, written and visual media.</w:t>
      </w:r>
    </w:p>
    <w:p w:rsidR="003071D5"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Good team and collaborative working skills.</w:t>
      </w:r>
    </w:p>
    <w:p w:rsidR="003071D5"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Ability to prioritise, plan and manage work and time.</w:t>
      </w:r>
    </w:p>
    <w:p w:rsidR="00AD0617" w:rsidRPr="00AD0617" w:rsidRDefault="003071D5" w:rsidP="00AD0617">
      <w:pPr>
        <w:pStyle w:val="ListParagraph"/>
        <w:numPr>
          <w:ilvl w:val="0"/>
          <w:numId w:val="3"/>
        </w:numPr>
        <w:rPr>
          <w:rFonts w:ascii="Verdana" w:hAnsi="Verdana"/>
          <w:sz w:val="20"/>
          <w:szCs w:val="20"/>
        </w:rPr>
      </w:pPr>
      <w:r w:rsidRPr="00AD0617">
        <w:rPr>
          <w:rFonts w:ascii="Verdana" w:hAnsi="Verdana"/>
          <w:sz w:val="20"/>
          <w:szCs w:val="20"/>
        </w:rPr>
        <w:t xml:space="preserve">Capacity to appropriately judge self-efficacy and to give and receive feedback </w:t>
      </w:r>
      <w:r w:rsidR="00AD0617" w:rsidRPr="00AD0617">
        <w:rPr>
          <w:rFonts w:ascii="Verdana" w:hAnsi="Verdana"/>
          <w:sz w:val="20"/>
          <w:szCs w:val="20"/>
        </w:rPr>
        <w:t>effectively</w:t>
      </w:r>
    </w:p>
    <w:p w:rsidR="00AD0617" w:rsidRPr="00AD0617" w:rsidRDefault="00AD0617" w:rsidP="00AD0617">
      <w:pPr>
        <w:rPr>
          <w:rFonts w:ascii="Verdana" w:hAnsi="Verdana"/>
          <w:sz w:val="20"/>
          <w:szCs w:val="20"/>
        </w:rPr>
      </w:pPr>
      <w:r w:rsidRPr="00AD0617">
        <w:rPr>
          <w:rFonts w:ascii="Verdana" w:hAnsi="Verdana"/>
          <w:sz w:val="20"/>
          <w:szCs w:val="20"/>
        </w:rPr>
        <w:t>Global Citizenship</w:t>
      </w:r>
    </w:p>
    <w:p w:rsidR="00AD0617" w:rsidRPr="00AD0617" w:rsidRDefault="00AD0617" w:rsidP="00AD0617">
      <w:pPr>
        <w:pStyle w:val="ListParagraph"/>
        <w:numPr>
          <w:ilvl w:val="0"/>
          <w:numId w:val="4"/>
        </w:numPr>
        <w:rPr>
          <w:rFonts w:ascii="Verdana" w:hAnsi="Verdana"/>
          <w:sz w:val="20"/>
          <w:szCs w:val="20"/>
        </w:rPr>
      </w:pPr>
      <w:r w:rsidRPr="00AD0617">
        <w:rPr>
          <w:rFonts w:ascii="Verdana" w:hAnsi="Verdana"/>
          <w:sz w:val="20"/>
          <w:szCs w:val="20"/>
        </w:rPr>
        <w:t>International awareness and openness to the world, based on appreciation of social and cultural diversity, respect for human rights and dignity.</w:t>
      </w:r>
    </w:p>
    <w:p w:rsidR="00AD0617" w:rsidRPr="00AD0617" w:rsidRDefault="00AD0617" w:rsidP="00AD0617">
      <w:pPr>
        <w:pStyle w:val="ListParagraph"/>
        <w:numPr>
          <w:ilvl w:val="0"/>
          <w:numId w:val="4"/>
        </w:numPr>
        <w:rPr>
          <w:rFonts w:ascii="Verdana" w:hAnsi="Verdana"/>
          <w:sz w:val="20"/>
          <w:szCs w:val="20"/>
        </w:rPr>
      </w:pPr>
      <w:r w:rsidRPr="00AD0617">
        <w:rPr>
          <w:rFonts w:ascii="Verdana" w:hAnsi="Verdana"/>
          <w:sz w:val="20"/>
          <w:szCs w:val="20"/>
        </w:rPr>
        <w:t>Understanding and appreciation of social, economic or environmental sustainability issues.</w:t>
      </w:r>
    </w:p>
    <w:p w:rsidR="00AD0617" w:rsidRPr="00AD0617" w:rsidRDefault="00AD0617" w:rsidP="00AD0617">
      <w:pPr>
        <w:pStyle w:val="ListParagraph"/>
        <w:numPr>
          <w:ilvl w:val="0"/>
          <w:numId w:val="4"/>
        </w:numPr>
        <w:rPr>
          <w:rFonts w:ascii="Verdana" w:hAnsi="Verdana"/>
          <w:sz w:val="20"/>
          <w:szCs w:val="20"/>
        </w:rPr>
      </w:pPr>
      <w:r w:rsidRPr="00AD0617">
        <w:rPr>
          <w:rFonts w:ascii="Verdana" w:hAnsi="Verdana"/>
          <w:sz w:val="20"/>
          <w:szCs w:val="20"/>
        </w:rPr>
        <w:t>Leadership capacity, including a willingness to engage in constructive public discourse, and to accept social and civic responsibility.</w:t>
      </w:r>
    </w:p>
    <w:p w:rsidR="00AD0617" w:rsidRPr="00AD0617" w:rsidRDefault="00AD0617" w:rsidP="00AD0617">
      <w:pPr>
        <w:rPr>
          <w:rFonts w:ascii="Verdana" w:hAnsi="Verdana"/>
          <w:sz w:val="20"/>
          <w:szCs w:val="20"/>
        </w:rPr>
      </w:pPr>
      <w:r w:rsidRPr="00AD0617">
        <w:rPr>
          <w:rFonts w:ascii="Verdana" w:hAnsi="Verdana"/>
          <w:sz w:val="20"/>
          <w:szCs w:val="20"/>
        </w:rPr>
        <w:t>Postgraduates will, in addition, have the following attributes:</w:t>
      </w:r>
    </w:p>
    <w:p w:rsidR="00AD0617" w:rsidRPr="00AD0617" w:rsidRDefault="00AD0617" w:rsidP="00AD0617">
      <w:pPr>
        <w:pStyle w:val="ListParagraph"/>
        <w:numPr>
          <w:ilvl w:val="0"/>
          <w:numId w:val="5"/>
        </w:numPr>
        <w:rPr>
          <w:rFonts w:ascii="Verdana" w:hAnsi="Verdana"/>
          <w:sz w:val="20"/>
          <w:szCs w:val="20"/>
        </w:rPr>
      </w:pPr>
      <w:r w:rsidRPr="00AD0617">
        <w:rPr>
          <w:rFonts w:ascii="Verdana" w:hAnsi="Verdana"/>
          <w:sz w:val="20"/>
          <w:szCs w:val="20"/>
        </w:rPr>
        <w:t>Capacity to contribute to knowledge construction in their chosen profession or discipline and to make advances in intellectual and creative endeavour.</w:t>
      </w:r>
    </w:p>
    <w:p w:rsidR="00AD0617" w:rsidRPr="00AD0617" w:rsidRDefault="00AD0617" w:rsidP="00AD0617">
      <w:pPr>
        <w:pStyle w:val="ListParagraph"/>
        <w:numPr>
          <w:ilvl w:val="0"/>
          <w:numId w:val="5"/>
        </w:numPr>
        <w:rPr>
          <w:rFonts w:ascii="Verdana" w:hAnsi="Verdana"/>
          <w:sz w:val="20"/>
          <w:szCs w:val="20"/>
        </w:rPr>
      </w:pPr>
      <w:r w:rsidRPr="00AD0617">
        <w:rPr>
          <w:rFonts w:ascii="Verdana" w:hAnsi="Verdana"/>
          <w:sz w:val="20"/>
          <w:szCs w:val="20"/>
        </w:rPr>
        <w:t>Ability to situate their work within wider theory and practice and to critically reflect on their chosen profession or discipline, including appreciation of the ethical implications of their work.</w:t>
      </w:r>
    </w:p>
    <w:p w:rsidR="00AD0617" w:rsidRPr="00AD0617" w:rsidRDefault="00AD0617" w:rsidP="00AD0617">
      <w:pPr>
        <w:pStyle w:val="ListParagraph"/>
        <w:numPr>
          <w:ilvl w:val="0"/>
          <w:numId w:val="5"/>
        </w:numPr>
        <w:rPr>
          <w:rFonts w:ascii="Verdana" w:hAnsi="Verdana"/>
          <w:sz w:val="20"/>
          <w:szCs w:val="20"/>
        </w:rPr>
      </w:pPr>
      <w:r w:rsidRPr="00AD0617">
        <w:rPr>
          <w:rFonts w:ascii="Verdana" w:hAnsi="Verdana"/>
          <w:sz w:val="20"/>
          <w:szCs w:val="20"/>
        </w:rPr>
        <w:t>Ability to conceptualise novel questions and solve complex problems.</w:t>
      </w:r>
    </w:p>
    <w:p w:rsidR="00AD0617" w:rsidRPr="00AD0617" w:rsidRDefault="00AD0617" w:rsidP="00AD0617">
      <w:pPr>
        <w:pStyle w:val="ListParagraph"/>
        <w:numPr>
          <w:ilvl w:val="0"/>
          <w:numId w:val="5"/>
        </w:numPr>
        <w:rPr>
          <w:rFonts w:ascii="Verdana" w:hAnsi="Verdana"/>
          <w:sz w:val="20"/>
          <w:szCs w:val="20"/>
        </w:rPr>
      </w:pPr>
      <w:r w:rsidRPr="00AD0617">
        <w:rPr>
          <w:rFonts w:ascii="Verdana" w:hAnsi="Verdana"/>
          <w:sz w:val="20"/>
          <w:szCs w:val="20"/>
        </w:rPr>
        <w:t>Aptitude in identifying and creating new opportunities and the capacity to lead collective endeavour.</w:t>
      </w:r>
    </w:p>
    <w:p w:rsidR="00701798" w:rsidRPr="00701798" w:rsidRDefault="00AD0617" w:rsidP="00AD0617">
      <w:pPr>
        <w:rPr>
          <w:rFonts w:ascii="Verdana" w:hAnsi="Verdana"/>
          <w:sz w:val="20"/>
          <w:szCs w:val="20"/>
        </w:rPr>
      </w:pPr>
      <w:r w:rsidRPr="00AD0617">
        <w:rPr>
          <w:rFonts w:ascii="Verdana" w:hAnsi="Verdana"/>
          <w:sz w:val="20"/>
          <w:szCs w:val="20"/>
        </w:rPr>
        <w:t xml:space="preserve">These target attributes frame the curriculum and learning opportunities at NTU. They will be integrated into our strategies for learning and teaching development and into procedures for programme validation and quality assurance. </w:t>
      </w:r>
    </w:p>
    <w:sectPr w:rsidR="00701798" w:rsidRPr="00701798" w:rsidSect="00BF5562">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8CB"/>
    <w:multiLevelType w:val="hybridMultilevel"/>
    <w:tmpl w:val="82E62AE0"/>
    <w:lvl w:ilvl="0" w:tplc="907428A4">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214B8"/>
    <w:multiLevelType w:val="hybridMultilevel"/>
    <w:tmpl w:val="272E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60011"/>
    <w:multiLevelType w:val="hybridMultilevel"/>
    <w:tmpl w:val="8E5C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329A9"/>
    <w:multiLevelType w:val="hybridMultilevel"/>
    <w:tmpl w:val="D8E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D31564"/>
    <w:multiLevelType w:val="hybridMultilevel"/>
    <w:tmpl w:val="8F7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98"/>
    <w:rsid w:val="00030B93"/>
    <w:rsid w:val="00297F32"/>
    <w:rsid w:val="003071D5"/>
    <w:rsid w:val="00410BCA"/>
    <w:rsid w:val="00582343"/>
    <w:rsid w:val="005A5C28"/>
    <w:rsid w:val="00701798"/>
    <w:rsid w:val="0070241A"/>
    <w:rsid w:val="007231F2"/>
    <w:rsid w:val="007E4727"/>
    <w:rsid w:val="007F6B71"/>
    <w:rsid w:val="00912E5F"/>
    <w:rsid w:val="00912E74"/>
    <w:rsid w:val="0097530C"/>
    <w:rsid w:val="00AD0617"/>
    <w:rsid w:val="00BF5562"/>
    <w:rsid w:val="00FF73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Ellie</dc:creator>
  <cp:lastModifiedBy>Kennedy, Ellie</cp:lastModifiedBy>
  <cp:revision>7</cp:revision>
  <cp:lastPrinted>2015-05-13T11:54:00Z</cp:lastPrinted>
  <dcterms:created xsi:type="dcterms:W3CDTF">2015-05-13T13:00:00Z</dcterms:created>
  <dcterms:modified xsi:type="dcterms:W3CDTF">2015-05-15T10:00:00Z</dcterms:modified>
</cp:coreProperties>
</file>