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FF" w:rsidRDefault="00CB0F1E" w:rsidP="00A74B5A">
      <w:pPr>
        <w:jc w:val="center"/>
        <w:rPr>
          <w:b/>
          <w:sz w:val="22"/>
        </w:rPr>
      </w:pPr>
      <w:r>
        <w:rPr>
          <w:b/>
          <w:sz w:val="24"/>
        </w:rPr>
        <w:br/>
      </w:r>
      <w:r w:rsidR="00943639">
        <w:rPr>
          <w:b/>
          <w:sz w:val="24"/>
        </w:rPr>
        <w:t xml:space="preserve">TILT </w:t>
      </w:r>
      <w:r w:rsidR="00CB2559" w:rsidRPr="00363152">
        <w:rPr>
          <w:b/>
          <w:sz w:val="24"/>
        </w:rPr>
        <w:t xml:space="preserve">Personalisation </w:t>
      </w:r>
      <w:r w:rsidR="006F3E8B">
        <w:rPr>
          <w:b/>
          <w:sz w:val="24"/>
        </w:rPr>
        <w:t>Workshop</w:t>
      </w:r>
      <w:r w:rsidR="00BE296A">
        <w:rPr>
          <w:b/>
          <w:sz w:val="24"/>
        </w:rPr>
        <w:t xml:space="preserve">, </w:t>
      </w:r>
      <w:r w:rsidR="00A74B5A">
        <w:rPr>
          <w:b/>
          <w:sz w:val="24"/>
        </w:rPr>
        <w:t xml:space="preserve">Wednesday 14 </w:t>
      </w:r>
      <w:r w:rsidR="00BE296A">
        <w:rPr>
          <w:b/>
          <w:sz w:val="24"/>
        </w:rPr>
        <w:t>September 2016</w:t>
      </w:r>
      <w:r w:rsidR="00383BFF" w:rsidRPr="00383BFF">
        <w:rPr>
          <w:b/>
          <w:sz w:val="22"/>
        </w:rPr>
        <w:t xml:space="preserve"> </w:t>
      </w:r>
    </w:p>
    <w:p w:rsidR="00CB2559" w:rsidRPr="00363152" w:rsidRDefault="007708BF" w:rsidP="008A30DD">
      <w:pPr>
        <w:jc w:val="center"/>
        <w:rPr>
          <w:b/>
          <w:sz w:val="24"/>
        </w:rPr>
      </w:pPr>
      <w:r>
        <w:rPr>
          <w:b/>
          <w:sz w:val="22"/>
        </w:rPr>
        <w:t xml:space="preserve">Venue: </w:t>
      </w:r>
      <w:r>
        <w:rPr>
          <w:b/>
          <w:sz w:val="22"/>
        </w:rPr>
        <w:tab/>
        <w:t xml:space="preserve">Newton </w:t>
      </w:r>
      <w:r w:rsidR="008A30DD">
        <w:rPr>
          <w:b/>
          <w:sz w:val="22"/>
        </w:rPr>
        <w:t xml:space="preserve">Level 0, </w:t>
      </w:r>
      <w:r>
        <w:rPr>
          <w:b/>
          <w:sz w:val="22"/>
        </w:rPr>
        <w:t>LT</w:t>
      </w:r>
      <w:r w:rsidR="008A30DD">
        <w:rPr>
          <w:b/>
          <w:sz w:val="22"/>
        </w:rPr>
        <w:t>8 and LT9</w:t>
      </w:r>
      <w:r w:rsidR="00383BFF">
        <w:rPr>
          <w:b/>
          <w:sz w:val="22"/>
        </w:rPr>
        <w:t>, City Campus</w:t>
      </w:r>
    </w:p>
    <w:p w:rsidR="009006F5" w:rsidRPr="009006F5" w:rsidRDefault="006707D4" w:rsidP="006F3E8B">
      <w:pPr>
        <w:jc w:val="both"/>
        <w:rPr>
          <w:rFonts w:cstheme="minorBidi"/>
        </w:rPr>
      </w:pPr>
      <w:r w:rsidRPr="009006F5">
        <w:t>You are invited to attend an event planned to support tutors in the personalisation of tutorials.</w:t>
      </w:r>
      <w:r w:rsidR="009006F5" w:rsidRPr="009006F5">
        <w:rPr>
          <w:rFonts w:cstheme="minorBidi"/>
        </w:rPr>
        <w:t xml:space="preserve"> </w:t>
      </w:r>
      <w:r w:rsidR="009006F5">
        <w:rPr>
          <w:rFonts w:cstheme="minorBidi"/>
        </w:rPr>
        <w:t>This is an opportunity to learn from professionals about techniques and to</w:t>
      </w:r>
      <w:r w:rsidR="006F3E8B">
        <w:rPr>
          <w:rFonts w:cstheme="minorBidi"/>
        </w:rPr>
        <w:t>o</w:t>
      </w:r>
      <w:r w:rsidR="009006F5">
        <w:rPr>
          <w:rFonts w:cstheme="minorBidi"/>
        </w:rPr>
        <w:t xml:space="preserve">ls to use in the support of students to facilitate </w:t>
      </w:r>
      <w:r w:rsidR="009006F5" w:rsidRPr="009006F5">
        <w:rPr>
          <w:rFonts w:cstheme="minorBidi"/>
        </w:rPr>
        <w:t>deliver</w:t>
      </w:r>
      <w:r w:rsidR="009006F5">
        <w:rPr>
          <w:rFonts w:cstheme="minorBidi"/>
        </w:rPr>
        <w:t>y of</w:t>
      </w:r>
      <w:r w:rsidR="009006F5" w:rsidRPr="009006F5">
        <w:rPr>
          <w:rFonts w:cstheme="minorBidi"/>
        </w:rPr>
        <w:t xml:space="preserve"> personalised tutorials</w:t>
      </w:r>
      <w:r w:rsidR="009006F5">
        <w:rPr>
          <w:rFonts w:cstheme="minorBidi"/>
        </w:rPr>
        <w:t xml:space="preserve"> as a component of curriculum refresh</w:t>
      </w:r>
      <w:r w:rsidR="009006F5" w:rsidRPr="009006F5">
        <w:rPr>
          <w:rFonts w:cstheme="minorBidi"/>
        </w:rPr>
        <w:t xml:space="preserve"> </w:t>
      </w:r>
      <w:r w:rsidR="009006F5">
        <w:rPr>
          <w:rFonts w:cstheme="minorBidi"/>
        </w:rPr>
        <w:t>(</w:t>
      </w:r>
      <w:r w:rsidR="009006F5" w:rsidRPr="009006F5">
        <w:rPr>
          <w:rFonts w:cstheme="minorBidi"/>
        </w:rPr>
        <w:t>action ACT301</w:t>
      </w:r>
      <w:r w:rsidR="009006F5">
        <w:rPr>
          <w:rFonts w:cstheme="minorBidi"/>
        </w:rPr>
        <w:t>).</w:t>
      </w:r>
    </w:p>
    <w:p w:rsidR="009006F5" w:rsidRPr="009006F5" w:rsidRDefault="009006F5" w:rsidP="006F3E8B">
      <w:pPr>
        <w:jc w:val="both"/>
        <w:rPr>
          <w:rFonts w:cstheme="minorBidi"/>
        </w:rPr>
      </w:pPr>
      <w:r w:rsidRPr="009006F5">
        <w:rPr>
          <w:rFonts w:cstheme="minorBidi"/>
        </w:rPr>
        <w:t>The event considers key issues involved in providing personalised support to help students with the academic side of their studies. This involves both the pastoral and the academic skills required for disciplinary study.  People who work in a personalised service will draw on their own professional training to provide academic tutors with practical advice on key issues involved in personalisation.  We have speakers from the following pr</w:t>
      </w:r>
      <w:r>
        <w:rPr>
          <w:rFonts w:cstheme="minorBidi"/>
        </w:rPr>
        <w:t>ofessions: university a</w:t>
      </w:r>
      <w:r w:rsidRPr="009006F5">
        <w:rPr>
          <w:rFonts w:cstheme="minorBidi"/>
        </w:rPr>
        <w:t xml:space="preserve">cademic </w:t>
      </w:r>
      <w:r>
        <w:rPr>
          <w:rFonts w:cstheme="minorBidi"/>
        </w:rPr>
        <w:t>s</w:t>
      </w:r>
      <w:r w:rsidRPr="009006F5">
        <w:rPr>
          <w:rFonts w:cstheme="minorBidi"/>
        </w:rPr>
        <w:t xml:space="preserve">upport services; </w:t>
      </w:r>
      <w:r>
        <w:rPr>
          <w:rFonts w:cstheme="minorBidi"/>
        </w:rPr>
        <w:t>c</w:t>
      </w:r>
      <w:r w:rsidRPr="009006F5">
        <w:rPr>
          <w:rFonts w:cstheme="minorBidi"/>
        </w:rPr>
        <w:t xml:space="preserve">ounselling and </w:t>
      </w:r>
      <w:r>
        <w:rPr>
          <w:rFonts w:cstheme="minorBidi"/>
        </w:rPr>
        <w:t>m</w:t>
      </w:r>
      <w:r w:rsidRPr="009006F5">
        <w:rPr>
          <w:rFonts w:cstheme="minorBidi"/>
        </w:rPr>
        <w:t xml:space="preserve">ental </w:t>
      </w:r>
      <w:r>
        <w:rPr>
          <w:rFonts w:cstheme="minorBidi"/>
        </w:rPr>
        <w:t>h</w:t>
      </w:r>
      <w:r w:rsidRPr="009006F5">
        <w:rPr>
          <w:rFonts w:cstheme="minorBidi"/>
        </w:rPr>
        <w:t xml:space="preserve">ealth; </w:t>
      </w:r>
      <w:r w:rsidR="008155F8">
        <w:rPr>
          <w:rFonts w:cstheme="minorBidi"/>
        </w:rPr>
        <w:t xml:space="preserve">educational development; </w:t>
      </w:r>
      <w:r>
        <w:rPr>
          <w:rFonts w:cstheme="minorBidi"/>
        </w:rPr>
        <w:t>s</w:t>
      </w:r>
      <w:r w:rsidRPr="009006F5">
        <w:rPr>
          <w:rFonts w:cstheme="minorBidi"/>
        </w:rPr>
        <w:t xml:space="preserve">ocial </w:t>
      </w:r>
      <w:r>
        <w:rPr>
          <w:rFonts w:cstheme="minorBidi"/>
        </w:rPr>
        <w:t>w</w:t>
      </w:r>
      <w:r w:rsidRPr="009006F5">
        <w:rPr>
          <w:rFonts w:cstheme="minorBidi"/>
        </w:rPr>
        <w:t>ork;</w:t>
      </w:r>
      <w:r w:rsidR="00383BFF">
        <w:rPr>
          <w:rFonts w:cstheme="minorBidi"/>
        </w:rPr>
        <w:t xml:space="preserve"> and</w:t>
      </w:r>
      <w:r w:rsidRPr="009006F5">
        <w:rPr>
          <w:rFonts w:cstheme="minorBidi"/>
        </w:rPr>
        <w:t xml:space="preserve"> </w:t>
      </w:r>
      <w:r>
        <w:rPr>
          <w:rFonts w:cstheme="minorBidi"/>
        </w:rPr>
        <w:t>p</w:t>
      </w:r>
      <w:r w:rsidRPr="009006F5">
        <w:rPr>
          <w:rFonts w:cstheme="minorBidi"/>
        </w:rPr>
        <w:t xml:space="preserve">ersonal </w:t>
      </w:r>
      <w:r>
        <w:rPr>
          <w:rFonts w:cstheme="minorBidi"/>
        </w:rPr>
        <w:t>t</w:t>
      </w:r>
      <w:r w:rsidRPr="009006F5">
        <w:rPr>
          <w:rFonts w:cstheme="minorBidi"/>
        </w:rPr>
        <w:t>raining for sports and fitness.  The event is suitable for all tutors, especially course leaders and personal tutors.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252"/>
        <w:gridCol w:w="1985"/>
        <w:gridCol w:w="1796"/>
      </w:tblGrid>
      <w:tr w:rsidR="008155F8" w:rsidRPr="008155F8" w:rsidTr="00383BFF">
        <w:tc>
          <w:tcPr>
            <w:tcW w:w="993" w:type="dxa"/>
          </w:tcPr>
          <w:p w:rsidR="00CB2559" w:rsidRPr="008155F8" w:rsidRDefault="00CB2559" w:rsidP="006D51B4">
            <w:pPr>
              <w:spacing w:after="120"/>
              <w:rPr>
                <w:b/>
                <w:szCs w:val="20"/>
              </w:rPr>
            </w:pPr>
            <w:r w:rsidRPr="008155F8">
              <w:rPr>
                <w:b/>
                <w:szCs w:val="20"/>
              </w:rPr>
              <w:t>Time</w:t>
            </w:r>
          </w:p>
        </w:tc>
        <w:tc>
          <w:tcPr>
            <w:tcW w:w="4252" w:type="dxa"/>
          </w:tcPr>
          <w:p w:rsidR="00CB2559" w:rsidRPr="008155F8" w:rsidRDefault="00CB2559" w:rsidP="006D51B4">
            <w:pPr>
              <w:spacing w:after="120"/>
              <w:rPr>
                <w:b/>
                <w:szCs w:val="20"/>
              </w:rPr>
            </w:pPr>
            <w:r w:rsidRPr="008155F8">
              <w:rPr>
                <w:b/>
                <w:szCs w:val="20"/>
              </w:rPr>
              <w:t>Session</w:t>
            </w:r>
          </w:p>
        </w:tc>
        <w:tc>
          <w:tcPr>
            <w:tcW w:w="1985" w:type="dxa"/>
          </w:tcPr>
          <w:p w:rsidR="00CB2559" w:rsidRPr="008155F8" w:rsidRDefault="00CB2559" w:rsidP="006D51B4">
            <w:pPr>
              <w:spacing w:after="120"/>
              <w:rPr>
                <w:b/>
                <w:szCs w:val="20"/>
              </w:rPr>
            </w:pPr>
            <w:r w:rsidRPr="008155F8">
              <w:rPr>
                <w:b/>
                <w:szCs w:val="20"/>
              </w:rPr>
              <w:t>Speaker</w:t>
            </w:r>
            <w:r w:rsidR="006D51B4" w:rsidRPr="008155F8">
              <w:rPr>
                <w:b/>
                <w:szCs w:val="20"/>
              </w:rPr>
              <w:t>s</w:t>
            </w:r>
          </w:p>
        </w:tc>
        <w:tc>
          <w:tcPr>
            <w:tcW w:w="1796" w:type="dxa"/>
          </w:tcPr>
          <w:p w:rsidR="00CB2559" w:rsidRPr="008155F8" w:rsidRDefault="00CB2559" w:rsidP="006D51B4">
            <w:pPr>
              <w:spacing w:after="120"/>
              <w:rPr>
                <w:b/>
                <w:szCs w:val="20"/>
              </w:rPr>
            </w:pPr>
            <w:r w:rsidRPr="008155F8">
              <w:rPr>
                <w:b/>
                <w:szCs w:val="20"/>
              </w:rPr>
              <w:t>Venue</w:t>
            </w:r>
          </w:p>
        </w:tc>
      </w:tr>
      <w:tr w:rsidR="008155F8" w:rsidRPr="008155F8" w:rsidTr="00383BFF">
        <w:tc>
          <w:tcPr>
            <w:tcW w:w="993" w:type="dxa"/>
          </w:tcPr>
          <w:p w:rsidR="00CB2559" w:rsidRPr="008155F8" w:rsidRDefault="00CB2559" w:rsidP="00943639">
            <w:pPr>
              <w:spacing w:after="120"/>
              <w:rPr>
                <w:szCs w:val="20"/>
              </w:rPr>
            </w:pPr>
            <w:r w:rsidRPr="008155F8">
              <w:rPr>
                <w:szCs w:val="20"/>
              </w:rPr>
              <w:t xml:space="preserve"> </w:t>
            </w:r>
            <w:r w:rsidR="00943639">
              <w:rPr>
                <w:szCs w:val="20"/>
              </w:rPr>
              <w:t>0</w:t>
            </w:r>
            <w:r w:rsidRPr="008155F8">
              <w:rPr>
                <w:szCs w:val="20"/>
              </w:rPr>
              <w:t>9.</w:t>
            </w:r>
            <w:r w:rsidR="008155F8">
              <w:rPr>
                <w:szCs w:val="20"/>
              </w:rPr>
              <w:t>1</w:t>
            </w:r>
            <w:r w:rsidRPr="008155F8">
              <w:rPr>
                <w:szCs w:val="20"/>
              </w:rPr>
              <w:t>0</w:t>
            </w:r>
          </w:p>
        </w:tc>
        <w:tc>
          <w:tcPr>
            <w:tcW w:w="4252" w:type="dxa"/>
          </w:tcPr>
          <w:p w:rsidR="00CB2559" w:rsidRPr="008155F8" w:rsidRDefault="00CB2559" w:rsidP="006D51B4">
            <w:pPr>
              <w:spacing w:after="120"/>
              <w:rPr>
                <w:szCs w:val="20"/>
              </w:rPr>
            </w:pPr>
            <w:r w:rsidRPr="008155F8">
              <w:rPr>
                <w:szCs w:val="20"/>
              </w:rPr>
              <w:t>Registration</w:t>
            </w:r>
          </w:p>
        </w:tc>
        <w:tc>
          <w:tcPr>
            <w:tcW w:w="1985" w:type="dxa"/>
          </w:tcPr>
          <w:p w:rsidR="00CB2559" w:rsidRPr="008155F8" w:rsidRDefault="00CB2559" w:rsidP="006D51B4">
            <w:pPr>
              <w:spacing w:after="120"/>
              <w:rPr>
                <w:szCs w:val="20"/>
              </w:rPr>
            </w:pPr>
          </w:p>
        </w:tc>
        <w:tc>
          <w:tcPr>
            <w:tcW w:w="1796" w:type="dxa"/>
          </w:tcPr>
          <w:p w:rsidR="00CB2559" w:rsidRPr="008155F8" w:rsidRDefault="00CB2559" w:rsidP="008A30DD">
            <w:pPr>
              <w:spacing w:after="120"/>
              <w:rPr>
                <w:szCs w:val="20"/>
              </w:rPr>
            </w:pPr>
            <w:r w:rsidRPr="008155F8">
              <w:rPr>
                <w:szCs w:val="20"/>
              </w:rPr>
              <w:t xml:space="preserve">Newton </w:t>
            </w:r>
            <w:r w:rsidR="008A30DD">
              <w:rPr>
                <w:szCs w:val="20"/>
              </w:rPr>
              <w:t>level 0</w:t>
            </w:r>
          </w:p>
        </w:tc>
      </w:tr>
      <w:tr w:rsidR="008155F8" w:rsidRPr="008155F8" w:rsidTr="00383BFF">
        <w:tc>
          <w:tcPr>
            <w:tcW w:w="993" w:type="dxa"/>
          </w:tcPr>
          <w:p w:rsidR="00CB2559" w:rsidRPr="008155F8" w:rsidRDefault="00943639" w:rsidP="009006F5">
            <w:pPr>
              <w:spacing w:after="120"/>
              <w:rPr>
                <w:szCs w:val="20"/>
              </w:rPr>
            </w:pPr>
            <w:r>
              <w:rPr>
                <w:szCs w:val="20"/>
              </w:rPr>
              <w:t xml:space="preserve"> 0</w:t>
            </w:r>
            <w:r w:rsidR="00CB2559" w:rsidRPr="008155F8">
              <w:rPr>
                <w:szCs w:val="20"/>
              </w:rPr>
              <w:t>9.</w:t>
            </w:r>
            <w:r w:rsidR="008155F8">
              <w:rPr>
                <w:szCs w:val="20"/>
              </w:rPr>
              <w:t>4</w:t>
            </w:r>
            <w:r w:rsidR="00CB2559" w:rsidRPr="008155F8">
              <w:rPr>
                <w:szCs w:val="20"/>
              </w:rPr>
              <w:t>0</w:t>
            </w:r>
          </w:p>
        </w:tc>
        <w:tc>
          <w:tcPr>
            <w:tcW w:w="4252" w:type="dxa"/>
          </w:tcPr>
          <w:p w:rsidR="00CB2559" w:rsidRPr="008155F8" w:rsidRDefault="00CB2559" w:rsidP="006D51B4">
            <w:pPr>
              <w:spacing w:after="120"/>
              <w:rPr>
                <w:szCs w:val="20"/>
              </w:rPr>
            </w:pPr>
            <w:r w:rsidRPr="008155F8">
              <w:rPr>
                <w:szCs w:val="20"/>
              </w:rPr>
              <w:t>Opening of event</w:t>
            </w:r>
          </w:p>
        </w:tc>
        <w:tc>
          <w:tcPr>
            <w:tcW w:w="1985" w:type="dxa"/>
          </w:tcPr>
          <w:p w:rsidR="00CB2559" w:rsidRPr="008155F8" w:rsidRDefault="00CB2559" w:rsidP="006D51B4">
            <w:pPr>
              <w:spacing w:after="120"/>
              <w:rPr>
                <w:szCs w:val="20"/>
              </w:rPr>
            </w:pPr>
            <w:r w:rsidRPr="008155F8">
              <w:rPr>
                <w:szCs w:val="20"/>
              </w:rPr>
              <w:t>Lisa Clughen</w:t>
            </w:r>
          </w:p>
        </w:tc>
        <w:tc>
          <w:tcPr>
            <w:tcW w:w="1796" w:type="dxa"/>
          </w:tcPr>
          <w:p w:rsidR="00CB2559" w:rsidRPr="008155F8" w:rsidRDefault="00CB2559" w:rsidP="009006F5">
            <w:pPr>
              <w:spacing w:after="120"/>
              <w:rPr>
                <w:szCs w:val="20"/>
              </w:rPr>
            </w:pPr>
            <w:r w:rsidRPr="008155F8">
              <w:rPr>
                <w:szCs w:val="20"/>
              </w:rPr>
              <w:t xml:space="preserve">Newton </w:t>
            </w:r>
            <w:r w:rsidR="00C11933" w:rsidRPr="008155F8">
              <w:rPr>
                <w:szCs w:val="20"/>
              </w:rPr>
              <w:t>LT</w:t>
            </w:r>
            <w:r w:rsidR="008A30DD">
              <w:rPr>
                <w:szCs w:val="20"/>
              </w:rPr>
              <w:t>9</w:t>
            </w:r>
          </w:p>
        </w:tc>
      </w:tr>
      <w:tr w:rsidR="008155F8" w:rsidRPr="008155F8" w:rsidTr="00383BFF">
        <w:tc>
          <w:tcPr>
            <w:tcW w:w="993" w:type="dxa"/>
          </w:tcPr>
          <w:p w:rsidR="008155F8" w:rsidRPr="008155F8" w:rsidRDefault="00943639" w:rsidP="00943639">
            <w:pPr>
              <w:spacing w:after="120"/>
              <w:rPr>
                <w:szCs w:val="20"/>
              </w:rPr>
            </w:pPr>
            <w:r>
              <w:rPr>
                <w:szCs w:val="20"/>
              </w:rPr>
              <w:t xml:space="preserve"> 0</w:t>
            </w:r>
            <w:r w:rsidR="008155F8">
              <w:rPr>
                <w:szCs w:val="20"/>
              </w:rPr>
              <w:t>9.50</w:t>
            </w:r>
          </w:p>
        </w:tc>
        <w:tc>
          <w:tcPr>
            <w:tcW w:w="4252" w:type="dxa"/>
          </w:tcPr>
          <w:p w:rsidR="008155F8" w:rsidRPr="008155F8" w:rsidRDefault="008155F8" w:rsidP="008155F8">
            <w:pPr>
              <w:spacing w:after="120"/>
              <w:rPr>
                <w:szCs w:val="20"/>
              </w:rPr>
            </w:pPr>
            <w:r>
              <w:rPr>
                <w:szCs w:val="20"/>
              </w:rPr>
              <w:t>Personalising the student experience</w:t>
            </w:r>
          </w:p>
        </w:tc>
        <w:tc>
          <w:tcPr>
            <w:tcW w:w="1985" w:type="dxa"/>
          </w:tcPr>
          <w:p w:rsidR="008155F8" w:rsidRPr="008155F8" w:rsidRDefault="008155F8" w:rsidP="006D51B4">
            <w:pPr>
              <w:spacing w:after="120"/>
              <w:rPr>
                <w:szCs w:val="20"/>
              </w:rPr>
            </w:pPr>
            <w:r>
              <w:rPr>
                <w:szCs w:val="20"/>
              </w:rPr>
              <w:t>Julia Davies</w:t>
            </w:r>
          </w:p>
        </w:tc>
        <w:tc>
          <w:tcPr>
            <w:tcW w:w="1796" w:type="dxa"/>
          </w:tcPr>
          <w:p w:rsidR="008155F8" w:rsidRPr="008155F8" w:rsidRDefault="008A30DD" w:rsidP="009006F5">
            <w:pPr>
              <w:spacing w:after="120"/>
              <w:rPr>
                <w:szCs w:val="20"/>
              </w:rPr>
            </w:pPr>
            <w:r>
              <w:rPr>
                <w:szCs w:val="20"/>
              </w:rPr>
              <w:t>Newton LT9</w:t>
            </w:r>
          </w:p>
        </w:tc>
      </w:tr>
      <w:tr w:rsidR="008155F8" w:rsidRPr="008155F8" w:rsidTr="00383BFF">
        <w:tc>
          <w:tcPr>
            <w:tcW w:w="993" w:type="dxa"/>
          </w:tcPr>
          <w:p w:rsidR="00CB2559" w:rsidRPr="008155F8" w:rsidRDefault="00CB2559" w:rsidP="006D51B4">
            <w:pPr>
              <w:spacing w:after="120"/>
              <w:rPr>
                <w:szCs w:val="20"/>
              </w:rPr>
            </w:pPr>
            <w:r w:rsidRPr="008155F8">
              <w:rPr>
                <w:szCs w:val="20"/>
              </w:rPr>
              <w:t>10.00</w:t>
            </w:r>
          </w:p>
        </w:tc>
        <w:tc>
          <w:tcPr>
            <w:tcW w:w="4252" w:type="dxa"/>
          </w:tcPr>
          <w:p w:rsidR="00CB2559" w:rsidRPr="008155F8" w:rsidRDefault="007A25B4" w:rsidP="00383BFF">
            <w:pPr>
              <w:spacing w:after="120"/>
              <w:rPr>
                <w:szCs w:val="20"/>
              </w:rPr>
            </w:pPr>
            <w:r w:rsidRPr="008155F8">
              <w:rPr>
                <w:szCs w:val="20"/>
              </w:rPr>
              <w:t xml:space="preserve">Effective </w:t>
            </w:r>
            <w:r w:rsidR="00383BFF">
              <w:rPr>
                <w:szCs w:val="20"/>
              </w:rPr>
              <w:t>m</w:t>
            </w:r>
            <w:r w:rsidRPr="008155F8">
              <w:rPr>
                <w:szCs w:val="20"/>
              </w:rPr>
              <w:t xml:space="preserve">anagement of </w:t>
            </w:r>
            <w:r w:rsidR="00383BFF">
              <w:rPr>
                <w:szCs w:val="20"/>
              </w:rPr>
              <w:t>s</w:t>
            </w:r>
            <w:r w:rsidRPr="008155F8">
              <w:rPr>
                <w:szCs w:val="20"/>
              </w:rPr>
              <w:t xml:space="preserve">tudent </w:t>
            </w:r>
            <w:r w:rsidR="00383BFF">
              <w:rPr>
                <w:szCs w:val="20"/>
              </w:rPr>
              <w:t>t</w:t>
            </w:r>
            <w:r w:rsidRPr="008155F8">
              <w:rPr>
                <w:szCs w:val="20"/>
              </w:rPr>
              <w:t xml:space="preserve">utorials: </w:t>
            </w:r>
            <w:r w:rsidR="00383BFF">
              <w:rPr>
                <w:szCs w:val="20"/>
              </w:rPr>
              <w:t>d</w:t>
            </w:r>
            <w:r w:rsidRPr="008155F8">
              <w:rPr>
                <w:szCs w:val="20"/>
              </w:rPr>
              <w:t xml:space="preserve">eveloping the </w:t>
            </w:r>
            <w:r w:rsidR="00383BFF">
              <w:rPr>
                <w:szCs w:val="20"/>
              </w:rPr>
              <w:t>s</w:t>
            </w:r>
            <w:r w:rsidRPr="008155F8">
              <w:rPr>
                <w:szCs w:val="20"/>
              </w:rPr>
              <w:t>tudent-</w:t>
            </w:r>
            <w:r w:rsidR="00383BFF">
              <w:rPr>
                <w:szCs w:val="20"/>
              </w:rPr>
              <w:t>t</w:t>
            </w:r>
            <w:r w:rsidRPr="008155F8">
              <w:rPr>
                <w:szCs w:val="20"/>
              </w:rPr>
              <w:t xml:space="preserve">utor </w:t>
            </w:r>
            <w:r w:rsidR="00383BFF">
              <w:rPr>
                <w:szCs w:val="20"/>
              </w:rPr>
              <w:t>r</w:t>
            </w:r>
            <w:r w:rsidRPr="008155F8">
              <w:rPr>
                <w:szCs w:val="20"/>
              </w:rPr>
              <w:t xml:space="preserve">elationship to </w:t>
            </w:r>
            <w:r w:rsidR="00383BFF">
              <w:rPr>
                <w:szCs w:val="20"/>
              </w:rPr>
              <w:t>e</w:t>
            </w:r>
            <w:r w:rsidRPr="008155F8">
              <w:rPr>
                <w:szCs w:val="20"/>
              </w:rPr>
              <w:t xml:space="preserve">nsure that </w:t>
            </w:r>
            <w:r w:rsidR="00383BFF">
              <w:rPr>
                <w:szCs w:val="20"/>
              </w:rPr>
              <w:t>s</w:t>
            </w:r>
            <w:r w:rsidRPr="008155F8">
              <w:rPr>
                <w:szCs w:val="20"/>
              </w:rPr>
              <w:t xml:space="preserve">tudents </w:t>
            </w:r>
            <w:r w:rsidR="00383BFF">
              <w:rPr>
                <w:szCs w:val="20"/>
              </w:rPr>
              <w:t>s</w:t>
            </w:r>
            <w:r w:rsidRPr="008155F8">
              <w:rPr>
                <w:szCs w:val="20"/>
              </w:rPr>
              <w:t>tay</w:t>
            </w:r>
          </w:p>
        </w:tc>
        <w:tc>
          <w:tcPr>
            <w:tcW w:w="1985" w:type="dxa"/>
          </w:tcPr>
          <w:p w:rsidR="00CB2559" w:rsidRPr="008155F8" w:rsidRDefault="007A25B4" w:rsidP="007A25B4">
            <w:pPr>
              <w:spacing w:after="120"/>
              <w:rPr>
                <w:szCs w:val="20"/>
              </w:rPr>
            </w:pPr>
            <w:r w:rsidRPr="008155F8">
              <w:rPr>
                <w:szCs w:val="20"/>
              </w:rPr>
              <w:t>Kerry Gough</w:t>
            </w:r>
          </w:p>
        </w:tc>
        <w:tc>
          <w:tcPr>
            <w:tcW w:w="1796" w:type="dxa"/>
          </w:tcPr>
          <w:p w:rsidR="00CB2559" w:rsidRPr="008155F8" w:rsidRDefault="00CB2559" w:rsidP="006D51B4">
            <w:pPr>
              <w:spacing w:after="120"/>
              <w:rPr>
                <w:szCs w:val="20"/>
              </w:rPr>
            </w:pPr>
            <w:r w:rsidRPr="008155F8">
              <w:rPr>
                <w:szCs w:val="20"/>
              </w:rPr>
              <w:t>Newton</w:t>
            </w:r>
            <w:r w:rsidR="008A30DD">
              <w:rPr>
                <w:szCs w:val="20"/>
              </w:rPr>
              <w:t xml:space="preserve"> LT9</w:t>
            </w:r>
          </w:p>
        </w:tc>
      </w:tr>
      <w:tr w:rsidR="008155F8" w:rsidRPr="008155F8" w:rsidTr="00383BFF">
        <w:tc>
          <w:tcPr>
            <w:tcW w:w="993" w:type="dxa"/>
          </w:tcPr>
          <w:p w:rsidR="00CB2559" w:rsidRPr="008155F8" w:rsidRDefault="007C5C70" w:rsidP="006D51B4">
            <w:pPr>
              <w:spacing w:after="120"/>
              <w:rPr>
                <w:szCs w:val="20"/>
              </w:rPr>
            </w:pPr>
            <w:r w:rsidRPr="008155F8">
              <w:rPr>
                <w:szCs w:val="20"/>
              </w:rPr>
              <w:t>10.25</w:t>
            </w:r>
          </w:p>
        </w:tc>
        <w:tc>
          <w:tcPr>
            <w:tcW w:w="4252" w:type="dxa"/>
          </w:tcPr>
          <w:p w:rsidR="00CB2559" w:rsidRPr="008155F8" w:rsidRDefault="0048450C" w:rsidP="006D51B4">
            <w:pPr>
              <w:spacing w:after="120"/>
              <w:rPr>
                <w:szCs w:val="20"/>
              </w:rPr>
            </w:pPr>
            <w:r>
              <w:rPr>
                <w:szCs w:val="20"/>
              </w:rPr>
              <w:t>Personalising learning to support success for all</w:t>
            </w:r>
          </w:p>
        </w:tc>
        <w:tc>
          <w:tcPr>
            <w:tcW w:w="1985" w:type="dxa"/>
          </w:tcPr>
          <w:p w:rsidR="00CB2559" w:rsidRPr="008155F8" w:rsidRDefault="006D51B4" w:rsidP="006D51B4">
            <w:pPr>
              <w:spacing w:after="120"/>
              <w:rPr>
                <w:szCs w:val="20"/>
              </w:rPr>
            </w:pPr>
            <w:r w:rsidRPr="008155F8">
              <w:rPr>
                <w:szCs w:val="20"/>
              </w:rPr>
              <w:t>Sarah Johnson and Jane Bonnell</w:t>
            </w:r>
          </w:p>
        </w:tc>
        <w:tc>
          <w:tcPr>
            <w:tcW w:w="1796" w:type="dxa"/>
          </w:tcPr>
          <w:p w:rsidR="00CB2559" w:rsidRPr="008155F8" w:rsidRDefault="00C11933" w:rsidP="006D51B4">
            <w:pPr>
              <w:spacing w:after="120"/>
              <w:rPr>
                <w:szCs w:val="20"/>
              </w:rPr>
            </w:pPr>
            <w:r w:rsidRPr="008155F8">
              <w:rPr>
                <w:szCs w:val="20"/>
              </w:rPr>
              <w:t>Newton</w:t>
            </w:r>
            <w:r w:rsidR="008A30DD">
              <w:rPr>
                <w:szCs w:val="20"/>
              </w:rPr>
              <w:t xml:space="preserve"> LT9</w:t>
            </w:r>
          </w:p>
        </w:tc>
      </w:tr>
      <w:tr w:rsidR="008155F8" w:rsidRPr="008155F8" w:rsidTr="00383BFF">
        <w:tc>
          <w:tcPr>
            <w:tcW w:w="993" w:type="dxa"/>
          </w:tcPr>
          <w:p w:rsidR="00CB2559" w:rsidRPr="008155F8" w:rsidRDefault="007C5C70" w:rsidP="006D51B4">
            <w:pPr>
              <w:spacing w:after="120"/>
              <w:rPr>
                <w:szCs w:val="20"/>
              </w:rPr>
            </w:pPr>
            <w:r w:rsidRPr="008155F8">
              <w:rPr>
                <w:szCs w:val="20"/>
              </w:rPr>
              <w:t>10.50</w:t>
            </w:r>
          </w:p>
        </w:tc>
        <w:tc>
          <w:tcPr>
            <w:tcW w:w="4252" w:type="dxa"/>
          </w:tcPr>
          <w:p w:rsidR="00CB2559" w:rsidRPr="008155F8" w:rsidRDefault="00383BFF" w:rsidP="00383BFF">
            <w:pPr>
              <w:spacing w:after="120"/>
              <w:rPr>
                <w:szCs w:val="20"/>
              </w:rPr>
            </w:pPr>
            <w:r>
              <w:rPr>
                <w:szCs w:val="20"/>
              </w:rPr>
              <w:t>Personalising a</w:t>
            </w:r>
            <w:r w:rsidR="006D51B4" w:rsidRPr="008155F8">
              <w:rPr>
                <w:szCs w:val="20"/>
              </w:rPr>
              <w:t xml:space="preserve">cademic </w:t>
            </w:r>
            <w:r>
              <w:rPr>
                <w:szCs w:val="20"/>
              </w:rPr>
              <w:t>s</w:t>
            </w:r>
            <w:r w:rsidR="00CB2559" w:rsidRPr="008155F8">
              <w:rPr>
                <w:szCs w:val="20"/>
              </w:rPr>
              <w:t>upport</w:t>
            </w:r>
          </w:p>
        </w:tc>
        <w:tc>
          <w:tcPr>
            <w:tcW w:w="1985" w:type="dxa"/>
          </w:tcPr>
          <w:p w:rsidR="00CB2559" w:rsidRPr="008155F8" w:rsidRDefault="00CB2559" w:rsidP="006D51B4">
            <w:pPr>
              <w:spacing w:after="120"/>
              <w:rPr>
                <w:szCs w:val="20"/>
              </w:rPr>
            </w:pPr>
            <w:r w:rsidRPr="008155F8">
              <w:rPr>
                <w:szCs w:val="20"/>
              </w:rPr>
              <w:t>Lisa Clughen</w:t>
            </w:r>
          </w:p>
        </w:tc>
        <w:tc>
          <w:tcPr>
            <w:tcW w:w="1796" w:type="dxa"/>
          </w:tcPr>
          <w:p w:rsidR="00CB2559" w:rsidRPr="008155F8" w:rsidRDefault="00C11933" w:rsidP="006D51B4">
            <w:pPr>
              <w:spacing w:after="120"/>
              <w:rPr>
                <w:szCs w:val="20"/>
              </w:rPr>
            </w:pPr>
            <w:r w:rsidRPr="008155F8">
              <w:rPr>
                <w:szCs w:val="20"/>
              </w:rPr>
              <w:t>Newton</w:t>
            </w:r>
            <w:r w:rsidR="008A30DD">
              <w:rPr>
                <w:szCs w:val="20"/>
              </w:rPr>
              <w:t xml:space="preserve"> LT9</w:t>
            </w:r>
          </w:p>
        </w:tc>
      </w:tr>
      <w:tr w:rsidR="00383BFF" w:rsidRPr="008155F8" w:rsidTr="00600702">
        <w:trPr>
          <w:trHeight w:val="525"/>
        </w:trPr>
        <w:tc>
          <w:tcPr>
            <w:tcW w:w="9026" w:type="dxa"/>
            <w:gridSpan w:val="4"/>
            <w:shd w:val="clear" w:color="auto" w:fill="D9D9D9" w:themeFill="background1" w:themeFillShade="D9"/>
          </w:tcPr>
          <w:p w:rsidR="00383BFF" w:rsidRPr="008155F8" w:rsidRDefault="00383BFF" w:rsidP="00383BFF">
            <w:pPr>
              <w:spacing w:before="120" w:after="120"/>
              <w:ind w:left="1593" w:hanging="1593"/>
              <w:rPr>
                <w:szCs w:val="20"/>
              </w:rPr>
            </w:pPr>
            <w:r w:rsidRPr="008155F8">
              <w:rPr>
                <w:szCs w:val="20"/>
              </w:rPr>
              <w:t>11.10</w:t>
            </w:r>
            <w:r>
              <w:rPr>
                <w:szCs w:val="20"/>
              </w:rPr>
              <w:t xml:space="preserve">      </w:t>
            </w:r>
            <w:r w:rsidRPr="008155F8">
              <w:rPr>
                <w:szCs w:val="20"/>
              </w:rPr>
              <w:t>Break</w:t>
            </w:r>
            <w:r w:rsidR="008A30DD">
              <w:rPr>
                <w:szCs w:val="20"/>
              </w:rPr>
              <w:t xml:space="preserve">                                                                                Newton LT8</w:t>
            </w:r>
          </w:p>
        </w:tc>
      </w:tr>
      <w:tr w:rsidR="008155F8" w:rsidRPr="008155F8" w:rsidTr="00383BFF">
        <w:tc>
          <w:tcPr>
            <w:tcW w:w="993" w:type="dxa"/>
          </w:tcPr>
          <w:p w:rsidR="00CB2559" w:rsidRPr="008155F8" w:rsidRDefault="007C5C70" w:rsidP="006D51B4">
            <w:pPr>
              <w:spacing w:after="120"/>
              <w:rPr>
                <w:szCs w:val="20"/>
              </w:rPr>
            </w:pPr>
            <w:r w:rsidRPr="008155F8">
              <w:rPr>
                <w:szCs w:val="20"/>
              </w:rPr>
              <w:t>11.3</w:t>
            </w:r>
            <w:r w:rsidR="00CB2559" w:rsidRPr="008155F8">
              <w:rPr>
                <w:szCs w:val="20"/>
              </w:rPr>
              <w:t>0</w:t>
            </w:r>
          </w:p>
        </w:tc>
        <w:tc>
          <w:tcPr>
            <w:tcW w:w="4252" w:type="dxa"/>
          </w:tcPr>
          <w:p w:rsidR="00CB2559" w:rsidRPr="008155F8" w:rsidRDefault="009E229C" w:rsidP="009E229C">
            <w:pPr>
              <w:spacing w:after="120"/>
              <w:rPr>
                <w:szCs w:val="20"/>
              </w:rPr>
            </w:pPr>
            <w:r w:rsidRPr="008155F8">
              <w:rPr>
                <w:szCs w:val="20"/>
              </w:rPr>
              <w:t>The alien, the chimp and the student</w:t>
            </w:r>
            <w:r w:rsidR="00383BFF">
              <w:rPr>
                <w:rFonts w:eastAsia="Times New Roman"/>
                <w:szCs w:val="20"/>
              </w:rPr>
              <w:t>: motivating students in HE</w:t>
            </w:r>
          </w:p>
        </w:tc>
        <w:tc>
          <w:tcPr>
            <w:tcW w:w="1985" w:type="dxa"/>
          </w:tcPr>
          <w:p w:rsidR="00CB2559" w:rsidRPr="008155F8" w:rsidRDefault="00CB2559" w:rsidP="006D51B4">
            <w:pPr>
              <w:spacing w:after="120"/>
              <w:rPr>
                <w:szCs w:val="20"/>
              </w:rPr>
            </w:pPr>
            <w:r w:rsidRPr="008155F8">
              <w:rPr>
                <w:szCs w:val="20"/>
              </w:rPr>
              <w:t>James Crossley</w:t>
            </w:r>
          </w:p>
        </w:tc>
        <w:tc>
          <w:tcPr>
            <w:tcW w:w="1796" w:type="dxa"/>
          </w:tcPr>
          <w:p w:rsidR="00CB2559" w:rsidRPr="008155F8" w:rsidRDefault="00C11933" w:rsidP="006D51B4">
            <w:pPr>
              <w:spacing w:after="120"/>
              <w:rPr>
                <w:szCs w:val="20"/>
              </w:rPr>
            </w:pPr>
            <w:r w:rsidRPr="008155F8">
              <w:rPr>
                <w:szCs w:val="20"/>
              </w:rPr>
              <w:t>Newton</w:t>
            </w:r>
            <w:r w:rsidR="008A30DD">
              <w:rPr>
                <w:szCs w:val="20"/>
              </w:rPr>
              <w:t xml:space="preserve"> LT9</w:t>
            </w:r>
          </w:p>
        </w:tc>
      </w:tr>
      <w:tr w:rsidR="008155F8" w:rsidRPr="008155F8" w:rsidTr="00383BFF">
        <w:tc>
          <w:tcPr>
            <w:tcW w:w="993" w:type="dxa"/>
          </w:tcPr>
          <w:p w:rsidR="00CB2559" w:rsidRPr="008155F8" w:rsidRDefault="007C5C70" w:rsidP="007C5C70">
            <w:pPr>
              <w:spacing w:after="120"/>
              <w:rPr>
                <w:szCs w:val="20"/>
              </w:rPr>
            </w:pPr>
            <w:r w:rsidRPr="008155F8">
              <w:rPr>
                <w:szCs w:val="20"/>
              </w:rPr>
              <w:t>11.55</w:t>
            </w:r>
          </w:p>
        </w:tc>
        <w:tc>
          <w:tcPr>
            <w:tcW w:w="4252" w:type="dxa"/>
          </w:tcPr>
          <w:p w:rsidR="00CB2559" w:rsidRPr="008155F8" w:rsidRDefault="00363152" w:rsidP="006D51B4">
            <w:pPr>
              <w:spacing w:after="120"/>
              <w:rPr>
                <w:szCs w:val="20"/>
              </w:rPr>
            </w:pPr>
            <w:r w:rsidRPr="008155F8">
              <w:rPr>
                <w:szCs w:val="20"/>
              </w:rPr>
              <w:t>Coaching techniques for empowerment</w:t>
            </w:r>
          </w:p>
        </w:tc>
        <w:tc>
          <w:tcPr>
            <w:tcW w:w="1985" w:type="dxa"/>
          </w:tcPr>
          <w:p w:rsidR="00CB2559" w:rsidRPr="008155F8" w:rsidRDefault="00363152" w:rsidP="00363152">
            <w:pPr>
              <w:spacing w:after="120"/>
              <w:rPr>
                <w:szCs w:val="20"/>
              </w:rPr>
            </w:pPr>
            <w:r w:rsidRPr="008155F8">
              <w:rPr>
                <w:szCs w:val="20"/>
              </w:rPr>
              <w:t xml:space="preserve">Stephen </w:t>
            </w:r>
            <w:r w:rsidR="00CB2559" w:rsidRPr="008155F8">
              <w:rPr>
                <w:szCs w:val="20"/>
              </w:rPr>
              <w:t>Tongue</w:t>
            </w:r>
          </w:p>
        </w:tc>
        <w:tc>
          <w:tcPr>
            <w:tcW w:w="1796" w:type="dxa"/>
          </w:tcPr>
          <w:p w:rsidR="00CB2559" w:rsidRPr="008155F8" w:rsidRDefault="00C11933" w:rsidP="006D51B4">
            <w:pPr>
              <w:spacing w:after="120"/>
              <w:rPr>
                <w:szCs w:val="20"/>
              </w:rPr>
            </w:pPr>
            <w:r w:rsidRPr="008155F8">
              <w:rPr>
                <w:szCs w:val="20"/>
              </w:rPr>
              <w:t>Newton</w:t>
            </w:r>
            <w:r w:rsidR="008A30DD">
              <w:rPr>
                <w:szCs w:val="20"/>
              </w:rPr>
              <w:t xml:space="preserve"> LT9</w:t>
            </w:r>
          </w:p>
        </w:tc>
      </w:tr>
      <w:tr w:rsidR="008155F8" w:rsidRPr="008155F8" w:rsidTr="00383BFF">
        <w:tc>
          <w:tcPr>
            <w:tcW w:w="993" w:type="dxa"/>
          </w:tcPr>
          <w:p w:rsidR="00CB2559" w:rsidRPr="008155F8" w:rsidRDefault="00CB2559" w:rsidP="007C5C70">
            <w:pPr>
              <w:spacing w:after="120"/>
              <w:rPr>
                <w:szCs w:val="20"/>
              </w:rPr>
            </w:pPr>
            <w:r w:rsidRPr="008155F8">
              <w:rPr>
                <w:szCs w:val="20"/>
              </w:rPr>
              <w:t>12.</w:t>
            </w:r>
            <w:r w:rsidR="007C5C70" w:rsidRPr="008155F8">
              <w:rPr>
                <w:szCs w:val="20"/>
              </w:rPr>
              <w:t>2</w:t>
            </w:r>
            <w:r w:rsidRPr="008155F8">
              <w:rPr>
                <w:szCs w:val="20"/>
              </w:rPr>
              <w:t>0</w:t>
            </w:r>
          </w:p>
        </w:tc>
        <w:tc>
          <w:tcPr>
            <w:tcW w:w="4252" w:type="dxa"/>
          </w:tcPr>
          <w:p w:rsidR="00CB2559" w:rsidRPr="008155F8" w:rsidRDefault="00363152" w:rsidP="006D51B4">
            <w:pPr>
              <w:spacing w:after="120"/>
              <w:rPr>
                <w:szCs w:val="20"/>
              </w:rPr>
            </w:pPr>
            <w:proofErr w:type="spellStart"/>
            <w:r w:rsidRPr="008155F8">
              <w:rPr>
                <w:szCs w:val="20"/>
              </w:rPr>
              <w:t>Mindset</w:t>
            </w:r>
            <w:proofErr w:type="spellEnd"/>
            <w:r w:rsidRPr="008155F8">
              <w:rPr>
                <w:szCs w:val="20"/>
              </w:rPr>
              <w:t xml:space="preserve"> training and language </w:t>
            </w:r>
          </w:p>
        </w:tc>
        <w:tc>
          <w:tcPr>
            <w:tcW w:w="1985" w:type="dxa"/>
          </w:tcPr>
          <w:p w:rsidR="00CB2559" w:rsidRPr="008155F8" w:rsidRDefault="00CB2559" w:rsidP="006D51B4">
            <w:pPr>
              <w:spacing w:after="120"/>
              <w:rPr>
                <w:szCs w:val="20"/>
              </w:rPr>
            </w:pPr>
            <w:r w:rsidRPr="008155F8">
              <w:rPr>
                <w:szCs w:val="20"/>
              </w:rPr>
              <w:t>Udaramati</w:t>
            </w:r>
            <w:r w:rsidR="00DF5816" w:rsidRPr="008155F8">
              <w:rPr>
                <w:szCs w:val="20"/>
              </w:rPr>
              <w:t xml:space="preserve"> Pope</w:t>
            </w:r>
          </w:p>
        </w:tc>
        <w:tc>
          <w:tcPr>
            <w:tcW w:w="1796" w:type="dxa"/>
          </w:tcPr>
          <w:p w:rsidR="00CB2559" w:rsidRPr="008155F8" w:rsidRDefault="00C11933" w:rsidP="006D51B4">
            <w:pPr>
              <w:spacing w:after="120"/>
              <w:rPr>
                <w:szCs w:val="20"/>
              </w:rPr>
            </w:pPr>
            <w:r w:rsidRPr="008155F8">
              <w:rPr>
                <w:szCs w:val="20"/>
              </w:rPr>
              <w:t>Newton</w:t>
            </w:r>
            <w:r w:rsidR="008A30DD">
              <w:rPr>
                <w:szCs w:val="20"/>
              </w:rPr>
              <w:t xml:space="preserve"> LT9</w:t>
            </w:r>
          </w:p>
        </w:tc>
      </w:tr>
      <w:tr w:rsidR="00383BFF" w:rsidRPr="008155F8" w:rsidTr="004C4122">
        <w:trPr>
          <w:trHeight w:val="554"/>
        </w:trPr>
        <w:tc>
          <w:tcPr>
            <w:tcW w:w="9026" w:type="dxa"/>
            <w:gridSpan w:val="4"/>
            <w:shd w:val="clear" w:color="auto" w:fill="D9D9D9" w:themeFill="background1" w:themeFillShade="D9"/>
          </w:tcPr>
          <w:p w:rsidR="00383BFF" w:rsidRPr="008155F8" w:rsidRDefault="00383BFF" w:rsidP="00383BFF">
            <w:pPr>
              <w:spacing w:before="120" w:after="120"/>
              <w:rPr>
                <w:szCs w:val="20"/>
              </w:rPr>
            </w:pPr>
            <w:r w:rsidRPr="008155F8">
              <w:rPr>
                <w:szCs w:val="20"/>
              </w:rPr>
              <w:t>12.40</w:t>
            </w:r>
            <w:r>
              <w:rPr>
                <w:szCs w:val="20"/>
              </w:rPr>
              <w:t xml:space="preserve">      </w:t>
            </w:r>
            <w:r w:rsidRPr="008155F8">
              <w:rPr>
                <w:szCs w:val="20"/>
              </w:rPr>
              <w:t>Lunch</w:t>
            </w:r>
            <w:r w:rsidR="008A30DD">
              <w:rPr>
                <w:szCs w:val="20"/>
              </w:rPr>
              <w:t xml:space="preserve">                                                                                Newton LT8</w:t>
            </w:r>
          </w:p>
        </w:tc>
      </w:tr>
      <w:tr w:rsidR="008155F8" w:rsidRPr="008155F8" w:rsidTr="00383BFF">
        <w:tc>
          <w:tcPr>
            <w:tcW w:w="993" w:type="dxa"/>
            <w:shd w:val="clear" w:color="auto" w:fill="auto"/>
          </w:tcPr>
          <w:p w:rsidR="00CB2559" w:rsidRPr="008155F8" w:rsidRDefault="00E363CB" w:rsidP="006D51B4">
            <w:pPr>
              <w:spacing w:after="120"/>
              <w:rPr>
                <w:szCs w:val="20"/>
              </w:rPr>
            </w:pPr>
            <w:r w:rsidRPr="008155F8">
              <w:rPr>
                <w:szCs w:val="20"/>
              </w:rPr>
              <w:t>13</w:t>
            </w:r>
            <w:r w:rsidR="00CB2559" w:rsidRPr="008155F8">
              <w:rPr>
                <w:szCs w:val="20"/>
              </w:rPr>
              <w:t>.30</w:t>
            </w:r>
          </w:p>
        </w:tc>
        <w:tc>
          <w:tcPr>
            <w:tcW w:w="4252" w:type="dxa"/>
            <w:shd w:val="clear" w:color="auto" w:fill="auto"/>
          </w:tcPr>
          <w:p w:rsidR="00CB2559" w:rsidRPr="008155F8" w:rsidRDefault="0071029C" w:rsidP="009E229C">
            <w:pPr>
              <w:spacing w:after="120"/>
              <w:rPr>
                <w:szCs w:val="20"/>
              </w:rPr>
            </w:pPr>
            <w:r w:rsidRPr="008155F8">
              <w:rPr>
                <w:szCs w:val="20"/>
              </w:rPr>
              <w:t>Task-centred supervision</w:t>
            </w:r>
          </w:p>
        </w:tc>
        <w:tc>
          <w:tcPr>
            <w:tcW w:w="1985" w:type="dxa"/>
            <w:shd w:val="clear" w:color="auto" w:fill="auto"/>
          </w:tcPr>
          <w:p w:rsidR="00CB2559" w:rsidRPr="008155F8" w:rsidRDefault="009E229C" w:rsidP="006D51B4">
            <w:pPr>
              <w:spacing w:after="120"/>
              <w:rPr>
                <w:szCs w:val="20"/>
              </w:rPr>
            </w:pPr>
            <w:r w:rsidRPr="008155F8">
              <w:rPr>
                <w:szCs w:val="20"/>
              </w:rPr>
              <w:t>Simon Cau</w:t>
            </w:r>
            <w:r w:rsidR="00CB2559" w:rsidRPr="008155F8">
              <w:rPr>
                <w:szCs w:val="20"/>
              </w:rPr>
              <w:t>vain</w:t>
            </w:r>
          </w:p>
        </w:tc>
        <w:tc>
          <w:tcPr>
            <w:tcW w:w="1796" w:type="dxa"/>
            <w:shd w:val="clear" w:color="auto" w:fill="auto"/>
          </w:tcPr>
          <w:p w:rsidR="00CB2559" w:rsidRPr="008155F8" w:rsidRDefault="00C11933" w:rsidP="006D51B4">
            <w:pPr>
              <w:spacing w:after="120"/>
              <w:rPr>
                <w:szCs w:val="20"/>
              </w:rPr>
            </w:pPr>
            <w:r w:rsidRPr="008155F8">
              <w:rPr>
                <w:szCs w:val="20"/>
              </w:rPr>
              <w:t>Newton</w:t>
            </w:r>
            <w:r w:rsidR="008A30DD">
              <w:rPr>
                <w:szCs w:val="20"/>
              </w:rPr>
              <w:t xml:space="preserve"> LT9</w:t>
            </w:r>
          </w:p>
        </w:tc>
      </w:tr>
      <w:tr w:rsidR="008155F8" w:rsidRPr="008155F8" w:rsidTr="00383BFF">
        <w:tc>
          <w:tcPr>
            <w:tcW w:w="993" w:type="dxa"/>
            <w:shd w:val="clear" w:color="auto" w:fill="auto"/>
          </w:tcPr>
          <w:p w:rsidR="00CB2559" w:rsidRPr="008155F8" w:rsidRDefault="00CB2559" w:rsidP="007C5C70">
            <w:pPr>
              <w:spacing w:after="120"/>
              <w:rPr>
                <w:szCs w:val="20"/>
              </w:rPr>
            </w:pPr>
            <w:r w:rsidRPr="008155F8">
              <w:rPr>
                <w:szCs w:val="20"/>
              </w:rPr>
              <w:t>1</w:t>
            </w:r>
            <w:r w:rsidR="00E363CB" w:rsidRPr="008155F8">
              <w:rPr>
                <w:szCs w:val="20"/>
              </w:rPr>
              <w:t>3</w:t>
            </w:r>
            <w:r w:rsidRPr="008155F8">
              <w:rPr>
                <w:szCs w:val="20"/>
              </w:rPr>
              <w:t>.5</w:t>
            </w:r>
            <w:r w:rsidR="007C5C70" w:rsidRPr="008155F8">
              <w:rPr>
                <w:szCs w:val="20"/>
              </w:rPr>
              <w:t>5</w:t>
            </w:r>
          </w:p>
        </w:tc>
        <w:tc>
          <w:tcPr>
            <w:tcW w:w="4252" w:type="dxa"/>
            <w:shd w:val="clear" w:color="auto" w:fill="auto"/>
          </w:tcPr>
          <w:p w:rsidR="00CB2559" w:rsidRPr="008155F8" w:rsidRDefault="006D51B4" w:rsidP="009E229C">
            <w:pPr>
              <w:spacing w:after="120"/>
              <w:rPr>
                <w:szCs w:val="20"/>
              </w:rPr>
            </w:pPr>
            <w:r w:rsidRPr="008155F8">
              <w:rPr>
                <w:szCs w:val="20"/>
              </w:rPr>
              <w:t xml:space="preserve">Time </w:t>
            </w:r>
            <w:r w:rsidR="009E229C" w:rsidRPr="008155F8">
              <w:rPr>
                <w:szCs w:val="20"/>
              </w:rPr>
              <w:t>travelling for academics: using time productively for personal tutorials</w:t>
            </w:r>
          </w:p>
        </w:tc>
        <w:tc>
          <w:tcPr>
            <w:tcW w:w="1985" w:type="dxa"/>
            <w:shd w:val="clear" w:color="auto" w:fill="auto"/>
          </w:tcPr>
          <w:p w:rsidR="00CB2559" w:rsidRPr="008155F8" w:rsidRDefault="00CB2559" w:rsidP="006D51B4">
            <w:pPr>
              <w:spacing w:after="120"/>
              <w:rPr>
                <w:szCs w:val="20"/>
              </w:rPr>
            </w:pPr>
            <w:r w:rsidRPr="008155F8">
              <w:rPr>
                <w:szCs w:val="20"/>
              </w:rPr>
              <w:t>Lindsay Cooper</w:t>
            </w:r>
          </w:p>
        </w:tc>
        <w:tc>
          <w:tcPr>
            <w:tcW w:w="1796" w:type="dxa"/>
            <w:shd w:val="clear" w:color="auto" w:fill="auto"/>
          </w:tcPr>
          <w:p w:rsidR="00CB2559" w:rsidRPr="008155F8" w:rsidRDefault="00C11933" w:rsidP="006D51B4">
            <w:pPr>
              <w:spacing w:after="120"/>
              <w:rPr>
                <w:szCs w:val="20"/>
              </w:rPr>
            </w:pPr>
            <w:r w:rsidRPr="008155F8">
              <w:rPr>
                <w:szCs w:val="20"/>
              </w:rPr>
              <w:t>Newton</w:t>
            </w:r>
            <w:r w:rsidR="008A30DD">
              <w:rPr>
                <w:szCs w:val="20"/>
              </w:rPr>
              <w:t xml:space="preserve"> LT9</w:t>
            </w:r>
          </w:p>
        </w:tc>
      </w:tr>
      <w:tr w:rsidR="008155F8" w:rsidRPr="008155F8" w:rsidTr="00383BFF">
        <w:tc>
          <w:tcPr>
            <w:tcW w:w="993" w:type="dxa"/>
            <w:shd w:val="clear" w:color="auto" w:fill="auto"/>
          </w:tcPr>
          <w:p w:rsidR="00CB2559" w:rsidRPr="008155F8" w:rsidRDefault="007C5C70" w:rsidP="007C5C70">
            <w:pPr>
              <w:spacing w:after="120"/>
              <w:rPr>
                <w:szCs w:val="20"/>
              </w:rPr>
            </w:pPr>
            <w:r w:rsidRPr="008155F8">
              <w:rPr>
                <w:szCs w:val="20"/>
              </w:rPr>
              <w:t>14.20</w:t>
            </w:r>
          </w:p>
        </w:tc>
        <w:tc>
          <w:tcPr>
            <w:tcW w:w="4252" w:type="dxa"/>
            <w:shd w:val="clear" w:color="auto" w:fill="auto"/>
          </w:tcPr>
          <w:p w:rsidR="00CB2559" w:rsidRPr="008155F8" w:rsidRDefault="0071029C" w:rsidP="009E229C">
            <w:pPr>
              <w:spacing w:after="120"/>
              <w:rPr>
                <w:szCs w:val="20"/>
              </w:rPr>
            </w:pPr>
            <w:r w:rsidRPr="008155F8">
              <w:rPr>
                <w:szCs w:val="20"/>
              </w:rPr>
              <w:t>Using insights from Clinical Psychology when supporting students</w:t>
            </w:r>
          </w:p>
        </w:tc>
        <w:tc>
          <w:tcPr>
            <w:tcW w:w="1985" w:type="dxa"/>
            <w:shd w:val="clear" w:color="auto" w:fill="auto"/>
          </w:tcPr>
          <w:p w:rsidR="00CB2559" w:rsidRPr="008155F8" w:rsidRDefault="00CB2559" w:rsidP="006D51B4">
            <w:pPr>
              <w:spacing w:after="120"/>
              <w:rPr>
                <w:szCs w:val="20"/>
              </w:rPr>
            </w:pPr>
            <w:r w:rsidRPr="008155F8">
              <w:rPr>
                <w:szCs w:val="20"/>
              </w:rPr>
              <w:t>Mike Marriott</w:t>
            </w:r>
          </w:p>
        </w:tc>
        <w:tc>
          <w:tcPr>
            <w:tcW w:w="1796" w:type="dxa"/>
            <w:shd w:val="clear" w:color="auto" w:fill="auto"/>
          </w:tcPr>
          <w:p w:rsidR="00CB2559" w:rsidRPr="008155F8" w:rsidRDefault="00C11933" w:rsidP="006D51B4">
            <w:pPr>
              <w:spacing w:after="120"/>
              <w:rPr>
                <w:szCs w:val="20"/>
              </w:rPr>
            </w:pPr>
            <w:r w:rsidRPr="008155F8">
              <w:rPr>
                <w:szCs w:val="20"/>
              </w:rPr>
              <w:t>Newton</w:t>
            </w:r>
            <w:r w:rsidR="008A30DD">
              <w:rPr>
                <w:szCs w:val="20"/>
              </w:rPr>
              <w:t xml:space="preserve"> LT9</w:t>
            </w:r>
          </w:p>
        </w:tc>
      </w:tr>
      <w:tr w:rsidR="008155F8" w:rsidRPr="008155F8" w:rsidTr="00383BFF">
        <w:tc>
          <w:tcPr>
            <w:tcW w:w="993" w:type="dxa"/>
            <w:shd w:val="clear" w:color="auto" w:fill="auto"/>
          </w:tcPr>
          <w:p w:rsidR="00CB2559" w:rsidRPr="008155F8" w:rsidRDefault="007C5C70" w:rsidP="006D51B4">
            <w:pPr>
              <w:spacing w:after="120"/>
              <w:rPr>
                <w:szCs w:val="20"/>
              </w:rPr>
            </w:pPr>
            <w:r w:rsidRPr="008155F8">
              <w:rPr>
                <w:szCs w:val="20"/>
              </w:rPr>
              <w:t>14.5</w:t>
            </w:r>
            <w:r w:rsidR="00E363CB" w:rsidRPr="008155F8">
              <w:rPr>
                <w:szCs w:val="20"/>
              </w:rPr>
              <w:t>0</w:t>
            </w:r>
          </w:p>
        </w:tc>
        <w:tc>
          <w:tcPr>
            <w:tcW w:w="4252" w:type="dxa"/>
            <w:shd w:val="clear" w:color="auto" w:fill="auto"/>
          </w:tcPr>
          <w:p w:rsidR="00CB2559" w:rsidRPr="008155F8" w:rsidRDefault="00E363CB" w:rsidP="006D51B4">
            <w:pPr>
              <w:spacing w:after="120"/>
              <w:rPr>
                <w:szCs w:val="20"/>
              </w:rPr>
            </w:pPr>
            <w:r w:rsidRPr="008155F8">
              <w:rPr>
                <w:szCs w:val="20"/>
              </w:rPr>
              <w:t>Network</w:t>
            </w:r>
            <w:r w:rsidR="007A25B4" w:rsidRPr="008155F8">
              <w:rPr>
                <w:szCs w:val="20"/>
              </w:rPr>
              <w:t>ing</w:t>
            </w:r>
          </w:p>
        </w:tc>
        <w:tc>
          <w:tcPr>
            <w:tcW w:w="1985" w:type="dxa"/>
            <w:shd w:val="clear" w:color="auto" w:fill="auto"/>
          </w:tcPr>
          <w:p w:rsidR="00CB2559" w:rsidRPr="008155F8" w:rsidRDefault="00CB2559" w:rsidP="006D51B4">
            <w:pPr>
              <w:spacing w:after="120"/>
              <w:rPr>
                <w:szCs w:val="20"/>
              </w:rPr>
            </w:pPr>
          </w:p>
        </w:tc>
        <w:tc>
          <w:tcPr>
            <w:tcW w:w="1796" w:type="dxa"/>
            <w:shd w:val="clear" w:color="auto" w:fill="auto"/>
          </w:tcPr>
          <w:p w:rsidR="00CB2559" w:rsidRPr="008155F8" w:rsidRDefault="008A30DD" w:rsidP="006D51B4">
            <w:pPr>
              <w:spacing w:after="120"/>
              <w:rPr>
                <w:szCs w:val="20"/>
              </w:rPr>
            </w:pPr>
            <w:r>
              <w:rPr>
                <w:szCs w:val="20"/>
              </w:rPr>
              <w:t>Newton LT8</w:t>
            </w:r>
          </w:p>
        </w:tc>
      </w:tr>
      <w:tr w:rsidR="00E363CB" w:rsidRPr="008155F8" w:rsidTr="00383BFF">
        <w:tc>
          <w:tcPr>
            <w:tcW w:w="993" w:type="dxa"/>
            <w:shd w:val="clear" w:color="auto" w:fill="auto"/>
          </w:tcPr>
          <w:p w:rsidR="00E363CB" w:rsidRPr="008155F8" w:rsidRDefault="00E363CB" w:rsidP="007C5C70">
            <w:pPr>
              <w:spacing w:after="120"/>
              <w:rPr>
                <w:szCs w:val="20"/>
              </w:rPr>
            </w:pPr>
            <w:r w:rsidRPr="008155F8">
              <w:rPr>
                <w:szCs w:val="20"/>
              </w:rPr>
              <w:t>1</w:t>
            </w:r>
            <w:r w:rsidR="007C5C70" w:rsidRPr="008155F8">
              <w:rPr>
                <w:szCs w:val="20"/>
              </w:rPr>
              <w:t>5</w:t>
            </w:r>
            <w:r w:rsidRPr="008155F8">
              <w:rPr>
                <w:szCs w:val="20"/>
              </w:rPr>
              <w:t>.</w:t>
            </w:r>
            <w:r w:rsidR="007C5C70" w:rsidRPr="008155F8">
              <w:rPr>
                <w:szCs w:val="20"/>
              </w:rPr>
              <w:t>30</w:t>
            </w:r>
          </w:p>
        </w:tc>
        <w:tc>
          <w:tcPr>
            <w:tcW w:w="4252" w:type="dxa"/>
            <w:shd w:val="clear" w:color="auto" w:fill="auto"/>
          </w:tcPr>
          <w:p w:rsidR="00E363CB" w:rsidRPr="008155F8" w:rsidRDefault="00E363CB" w:rsidP="006D51B4">
            <w:pPr>
              <w:spacing w:after="120"/>
              <w:rPr>
                <w:szCs w:val="20"/>
              </w:rPr>
            </w:pPr>
            <w:r w:rsidRPr="008155F8">
              <w:rPr>
                <w:szCs w:val="20"/>
              </w:rPr>
              <w:t>Close</w:t>
            </w:r>
          </w:p>
        </w:tc>
        <w:tc>
          <w:tcPr>
            <w:tcW w:w="1985" w:type="dxa"/>
            <w:shd w:val="clear" w:color="auto" w:fill="auto"/>
          </w:tcPr>
          <w:p w:rsidR="00E363CB" w:rsidRPr="008155F8" w:rsidRDefault="00E363CB" w:rsidP="006D51B4">
            <w:pPr>
              <w:spacing w:after="120"/>
              <w:rPr>
                <w:szCs w:val="20"/>
              </w:rPr>
            </w:pPr>
          </w:p>
        </w:tc>
        <w:tc>
          <w:tcPr>
            <w:tcW w:w="1796" w:type="dxa"/>
            <w:shd w:val="clear" w:color="auto" w:fill="auto"/>
          </w:tcPr>
          <w:p w:rsidR="00E363CB" w:rsidRPr="008155F8" w:rsidRDefault="00E363CB" w:rsidP="006D51B4">
            <w:pPr>
              <w:spacing w:after="120"/>
              <w:rPr>
                <w:szCs w:val="20"/>
              </w:rPr>
            </w:pPr>
          </w:p>
        </w:tc>
      </w:tr>
    </w:tbl>
    <w:p w:rsidR="00943639" w:rsidRPr="0098784B" w:rsidRDefault="00CB0F1E" w:rsidP="00FC4332">
      <w:pPr>
        <w:rPr>
          <w:b/>
          <w:bCs/>
          <w:szCs w:val="20"/>
        </w:rPr>
      </w:pPr>
      <w:r>
        <w:rPr>
          <w:b/>
          <w:bCs/>
          <w:szCs w:val="20"/>
        </w:rPr>
        <w:br/>
      </w:r>
      <w:r w:rsidR="00FC4332">
        <w:rPr>
          <w:b/>
          <w:bCs/>
          <w:szCs w:val="20"/>
        </w:rPr>
        <w:t>This workshop is free to attend and b</w:t>
      </w:r>
      <w:bookmarkStart w:id="0" w:name="_GoBack"/>
      <w:bookmarkEnd w:id="0"/>
      <w:r w:rsidR="00FC4332">
        <w:rPr>
          <w:b/>
          <w:bCs/>
          <w:szCs w:val="20"/>
        </w:rPr>
        <w:t>ooking</w:t>
      </w:r>
      <w:r w:rsidR="00943639" w:rsidRPr="0098784B">
        <w:rPr>
          <w:b/>
          <w:bCs/>
          <w:szCs w:val="20"/>
        </w:rPr>
        <w:t xml:space="preserve"> </w:t>
      </w:r>
      <w:r w:rsidR="008A30DD">
        <w:rPr>
          <w:b/>
          <w:bCs/>
          <w:szCs w:val="20"/>
        </w:rPr>
        <w:t>is open now</w:t>
      </w:r>
      <w:r w:rsidR="00943639" w:rsidRPr="0098784B">
        <w:rPr>
          <w:b/>
          <w:bCs/>
          <w:szCs w:val="20"/>
        </w:rPr>
        <w:t xml:space="preserve"> via the </w:t>
      </w:r>
      <w:hyperlink r:id="rId6" w:history="1">
        <w:r w:rsidR="00943639" w:rsidRPr="008A30DD">
          <w:rPr>
            <w:rStyle w:val="Hyperlink"/>
            <w:b/>
            <w:bCs/>
            <w:szCs w:val="20"/>
          </w:rPr>
          <w:t>CADQ events site</w:t>
        </w:r>
      </w:hyperlink>
      <w:r w:rsidR="00943639" w:rsidRPr="0098784B">
        <w:rPr>
          <w:b/>
          <w:bCs/>
          <w:szCs w:val="20"/>
        </w:rPr>
        <w:t xml:space="preserve">. If you wish to find out further information please email </w:t>
      </w:r>
      <w:hyperlink r:id="rId7" w:history="1">
        <w:r w:rsidR="00943639" w:rsidRPr="0098784B">
          <w:rPr>
            <w:rStyle w:val="Hyperlink"/>
            <w:b/>
            <w:bCs/>
            <w:szCs w:val="20"/>
          </w:rPr>
          <w:t>TILT@ntu.ac.uk</w:t>
        </w:r>
      </w:hyperlink>
      <w:r w:rsidR="00943639" w:rsidRPr="0098784B">
        <w:rPr>
          <w:b/>
          <w:bCs/>
          <w:szCs w:val="20"/>
        </w:rPr>
        <w:t xml:space="preserve"> </w:t>
      </w:r>
    </w:p>
    <w:sectPr w:rsidR="00943639" w:rsidRPr="0098784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39" w:rsidRDefault="00943639" w:rsidP="00943639">
      <w:pPr>
        <w:spacing w:after="0" w:line="240" w:lineRule="auto"/>
      </w:pPr>
      <w:r>
        <w:separator/>
      </w:r>
    </w:p>
  </w:endnote>
  <w:endnote w:type="continuationSeparator" w:id="0">
    <w:p w:rsidR="00943639" w:rsidRDefault="00943639" w:rsidP="0094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39" w:rsidRDefault="00943639" w:rsidP="00943639">
      <w:pPr>
        <w:spacing w:after="0" w:line="240" w:lineRule="auto"/>
      </w:pPr>
      <w:r>
        <w:separator/>
      </w:r>
    </w:p>
  </w:footnote>
  <w:footnote w:type="continuationSeparator" w:id="0">
    <w:p w:rsidR="00943639" w:rsidRDefault="00943639" w:rsidP="00943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39" w:rsidRDefault="00CB0F1E">
    <w:pPr>
      <w:pStyle w:val="Header"/>
    </w:pPr>
    <w:r>
      <w:rPr>
        <w:noProof/>
        <w:lang w:eastAsia="zh-CN"/>
      </w:rPr>
      <w:drawing>
        <wp:inline distT="0" distB="0" distL="0" distR="0">
          <wp:extent cx="1770516" cy="576447"/>
          <wp:effectExtent l="0" t="0" r="1270" b="0"/>
          <wp:docPr id="3" name="Picture 3" descr="A:\CASQ Index\TILT\6. Promotion\Branding\TI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SQ Index\TILT\6. Promotion\Branding\TIL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078" cy="6052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59"/>
    <w:rsid w:val="00005420"/>
    <w:rsid w:val="00015921"/>
    <w:rsid w:val="0002541E"/>
    <w:rsid w:val="00032DBA"/>
    <w:rsid w:val="00037221"/>
    <w:rsid w:val="000729DE"/>
    <w:rsid w:val="00085EFC"/>
    <w:rsid w:val="000931CC"/>
    <w:rsid w:val="000E5F9F"/>
    <w:rsid w:val="000F6F35"/>
    <w:rsid w:val="00101706"/>
    <w:rsid w:val="00104E1D"/>
    <w:rsid w:val="001876DF"/>
    <w:rsid w:val="00192B42"/>
    <w:rsid w:val="001B45B9"/>
    <w:rsid w:val="001C55E7"/>
    <w:rsid w:val="001C7627"/>
    <w:rsid w:val="001D0F21"/>
    <w:rsid w:val="001E22FE"/>
    <w:rsid w:val="001F3827"/>
    <w:rsid w:val="002207B7"/>
    <w:rsid w:val="00257646"/>
    <w:rsid w:val="00261010"/>
    <w:rsid w:val="00262DE7"/>
    <w:rsid w:val="00270E92"/>
    <w:rsid w:val="0027590C"/>
    <w:rsid w:val="00286511"/>
    <w:rsid w:val="00295AC5"/>
    <w:rsid w:val="002E3CBB"/>
    <w:rsid w:val="00312420"/>
    <w:rsid w:val="00312BEF"/>
    <w:rsid w:val="0032288D"/>
    <w:rsid w:val="00363152"/>
    <w:rsid w:val="0037159E"/>
    <w:rsid w:val="0037698F"/>
    <w:rsid w:val="00383BFF"/>
    <w:rsid w:val="00390E06"/>
    <w:rsid w:val="003A59FB"/>
    <w:rsid w:val="003A6267"/>
    <w:rsid w:val="003D3D78"/>
    <w:rsid w:val="003E5824"/>
    <w:rsid w:val="0040129E"/>
    <w:rsid w:val="00420E53"/>
    <w:rsid w:val="00435C88"/>
    <w:rsid w:val="004417CB"/>
    <w:rsid w:val="00454991"/>
    <w:rsid w:val="0046747F"/>
    <w:rsid w:val="00474CD9"/>
    <w:rsid w:val="004771BC"/>
    <w:rsid w:val="00480D43"/>
    <w:rsid w:val="00481367"/>
    <w:rsid w:val="0048450C"/>
    <w:rsid w:val="00491086"/>
    <w:rsid w:val="004A1101"/>
    <w:rsid w:val="004B0806"/>
    <w:rsid w:val="004F7482"/>
    <w:rsid w:val="005035B5"/>
    <w:rsid w:val="00520960"/>
    <w:rsid w:val="00521618"/>
    <w:rsid w:val="00536ABB"/>
    <w:rsid w:val="005444E7"/>
    <w:rsid w:val="005618EF"/>
    <w:rsid w:val="005757D1"/>
    <w:rsid w:val="005B3226"/>
    <w:rsid w:val="005B61CA"/>
    <w:rsid w:val="005C738C"/>
    <w:rsid w:val="005E32E0"/>
    <w:rsid w:val="00642AA0"/>
    <w:rsid w:val="006479E9"/>
    <w:rsid w:val="006707D4"/>
    <w:rsid w:val="006855EA"/>
    <w:rsid w:val="006B2FDB"/>
    <w:rsid w:val="006B65F4"/>
    <w:rsid w:val="006C0407"/>
    <w:rsid w:val="006D51B4"/>
    <w:rsid w:val="006F3E8B"/>
    <w:rsid w:val="0071029C"/>
    <w:rsid w:val="007342B4"/>
    <w:rsid w:val="00747769"/>
    <w:rsid w:val="007708BF"/>
    <w:rsid w:val="007717C0"/>
    <w:rsid w:val="00781B80"/>
    <w:rsid w:val="007871A9"/>
    <w:rsid w:val="00787553"/>
    <w:rsid w:val="007917A1"/>
    <w:rsid w:val="007A25B4"/>
    <w:rsid w:val="007A3DE4"/>
    <w:rsid w:val="007C477C"/>
    <w:rsid w:val="007C5C70"/>
    <w:rsid w:val="007D44C3"/>
    <w:rsid w:val="007D695F"/>
    <w:rsid w:val="007E40DF"/>
    <w:rsid w:val="007E513D"/>
    <w:rsid w:val="008030B8"/>
    <w:rsid w:val="008155F8"/>
    <w:rsid w:val="008213D9"/>
    <w:rsid w:val="0082191F"/>
    <w:rsid w:val="008253CE"/>
    <w:rsid w:val="008256D9"/>
    <w:rsid w:val="00825DD5"/>
    <w:rsid w:val="0085774F"/>
    <w:rsid w:val="00871BC1"/>
    <w:rsid w:val="00890D30"/>
    <w:rsid w:val="008A06F2"/>
    <w:rsid w:val="008A30DD"/>
    <w:rsid w:val="008B5934"/>
    <w:rsid w:val="008F0A4E"/>
    <w:rsid w:val="009006F5"/>
    <w:rsid w:val="00904472"/>
    <w:rsid w:val="00921DE0"/>
    <w:rsid w:val="00931A18"/>
    <w:rsid w:val="0093203C"/>
    <w:rsid w:val="00937891"/>
    <w:rsid w:val="00941537"/>
    <w:rsid w:val="00943639"/>
    <w:rsid w:val="0096535D"/>
    <w:rsid w:val="009815A0"/>
    <w:rsid w:val="0098784B"/>
    <w:rsid w:val="0099559B"/>
    <w:rsid w:val="009A7673"/>
    <w:rsid w:val="009B00ED"/>
    <w:rsid w:val="009E229C"/>
    <w:rsid w:val="009F1772"/>
    <w:rsid w:val="00A00D50"/>
    <w:rsid w:val="00A10B17"/>
    <w:rsid w:val="00A35859"/>
    <w:rsid w:val="00A43538"/>
    <w:rsid w:val="00A542A7"/>
    <w:rsid w:val="00A545DC"/>
    <w:rsid w:val="00A60E52"/>
    <w:rsid w:val="00A74B5A"/>
    <w:rsid w:val="00A81787"/>
    <w:rsid w:val="00AA04E8"/>
    <w:rsid w:val="00AB2183"/>
    <w:rsid w:val="00AC1917"/>
    <w:rsid w:val="00AC6753"/>
    <w:rsid w:val="00AC79B7"/>
    <w:rsid w:val="00AD431F"/>
    <w:rsid w:val="00AE14B5"/>
    <w:rsid w:val="00B00772"/>
    <w:rsid w:val="00B06DFD"/>
    <w:rsid w:val="00B11F99"/>
    <w:rsid w:val="00BD5841"/>
    <w:rsid w:val="00BE296A"/>
    <w:rsid w:val="00BF197F"/>
    <w:rsid w:val="00BF2607"/>
    <w:rsid w:val="00BF6CFB"/>
    <w:rsid w:val="00C00B1D"/>
    <w:rsid w:val="00C01A7C"/>
    <w:rsid w:val="00C02196"/>
    <w:rsid w:val="00C11933"/>
    <w:rsid w:val="00C11A5C"/>
    <w:rsid w:val="00C45D29"/>
    <w:rsid w:val="00C80B58"/>
    <w:rsid w:val="00C80C65"/>
    <w:rsid w:val="00C943EB"/>
    <w:rsid w:val="00CA4AC7"/>
    <w:rsid w:val="00CA51CB"/>
    <w:rsid w:val="00CA63C4"/>
    <w:rsid w:val="00CB0F1E"/>
    <w:rsid w:val="00CB2559"/>
    <w:rsid w:val="00CF351E"/>
    <w:rsid w:val="00D16AAD"/>
    <w:rsid w:val="00D427FD"/>
    <w:rsid w:val="00D47121"/>
    <w:rsid w:val="00D75389"/>
    <w:rsid w:val="00D8293E"/>
    <w:rsid w:val="00D855ED"/>
    <w:rsid w:val="00DB48B2"/>
    <w:rsid w:val="00DC1E53"/>
    <w:rsid w:val="00DF1F05"/>
    <w:rsid w:val="00DF5816"/>
    <w:rsid w:val="00E03F3B"/>
    <w:rsid w:val="00E05BFF"/>
    <w:rsid w:val="00E126AE"/>
    <w:rsid w:val="00E32E7C"/>
    <w:rsid w:val="00E34AE3"/>
    <w:rsid w:val="00E363CB"/>
    <w:rsid w:val="00E36CE3"/>
    <w:rsid w:val="00E63938"/>
    <w:rsid w:val="00E824D9"/>
    <w:rsid w:val="00EA55F2"/>
    <w:rsid w:val="00EB3B80"/>
    <w:rsid w:val="00EC1425"/>
    <w:rsid w:val="00EC2AE0"/>
    <w:rsid w:val="00EC464C"/>
    <w:rsid w:val="00ED2CF0"/>
    <w:rsid w:val="00ED7940"/>
    <w:rsid w:val="00EE3EAA"/>
    <w:rsid w:val="00EF0521"/>
    <w:rsid w:val="00F01788"/>
    <w:rsid w:val="00F01F01"/>
    <w:rsid w:val="00F03E40"/>
    <w:rsid w:val="00F2773E"/>
    <w:rsid w:val="00F61488"/>
    <w:rsid w:val="00F67370"/>
    <w:rsid w:val="00F90BDA"/>
    <w:rsid w:val="00FA34E7"/>
    <w:rsid w:val="00FB4D90"/>
    <w:rsid w:val="00FC34E0"/>
    <w:rsid w:val="00FC4332"/>
    <w:rsid w:val="00FD562B"/>
    <w:rsid w:val="00FE76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D99FF-578E-4929-A0B3-594784F1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2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0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7D4"/>
    <w:rPr>
      <w:rFonts w:ascii="Segoe UI" w:hAnsi="Segoe UI" w:cs="Segoe UI"/>
      <w:sz w:val="18"/>
      <w:szCs w:val="18"/>
    </w:rPr>
  </w:style>
  <w:style w:type="character" w:styleId="Hyperlink">
    <w:name w:val="Hyperlink"/>
    <w:basedOn w:val="DefaultParagraphFont"/>
    <w:uiPriority w:val="99"/>
    <w:unhideWhenUsed/>
    <w:rsid w:val="00943639"/>
    <w:rPr>
      <w:color w:val="0563C1" w:themeColor="hyperlink"/>
      <w:u w:val="single"/>
    </w:rPr>
  </w:style>
  <w:style w:type="paragraph" w:styleId="Header">
    <w:name w:val="header"/>
    <w:basedOn w:val="Normal"/>
    <w:link w:val="HeaderChar"/>
    <w:uiPriority w:val="99"/>
    <w:unhideWhenUsed/>
    <w:rsid w:val="00943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639"/>
  </w:style>
  <w:style w:type="paragraph" w:styleId="Footer">
    <w:name w:val="footer"/>
    <w:basedOn w:val="Normal"/>
    <w:link w:val="FooterChar"/>
    <w:uiPriority w:val="99"/>
    <w:unhideWhenUsed/>
    <w:rsid w:val="00943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ILT@ntu.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4.ntu.ac.uk/apps/events/43/home.aspx/event/187821/default/tilt_personalisation_workshop_"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Julia</dc:creator>
  <cp:keywords/>
  <dc:description/>
  <cp:lastModifiedBy>Anderton, Ruth</cp:lastModifiedBy>
  <cp:revision>6</cp:revision>
  <cp:lastPrinted>2016-06-01T10:26:00Z</cp:lastPrinted>
  <dcterms:created xsi:type="dcterms:W3CDTF">2016-07-11T10:42:00Z</dcterms:created>
  <dcterms:modified xsi:type="dcterms:W3CDTF">2016-08-04T10:57:00Z</dcterms:modified>
</cp:coreProperties>
</file>