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79" w:rsidRPr="00847197" w:rsidRDefault="00F8215E" w:rsidP="005E0254">
      <w:pPr>
        <w:spacing w:after="40" w:line="240" w:lineRule="auto"/>
        <w:rPr>
          <w:rFonts w:ascii="Verdana" w:hAnsi="Verdana"/>
          <w:b/>
          <w:sz w:val="36"/>
          <w:szCs w:val="36"/>
        </w:rPr>
      </w:pPr>
      <w:r w:rsidRPr="00847197">
        <w:rPr>
          <w:rFonts w:ascii="Verdana" w:hAnsi="Verdana"/>
          <w:b/>
          <w:sz w:val="36"/>
          <w:szCs w:val="36"/>
        </w:rPr>
        <w:t>Help-seeking behaviour</w:t>
      </w:r>
    </w:p>
    <w:p w:rsidR="00003CE5" w:rsidRPr="00003CE5" w:rsidRDefault="00003CE5" w:rsidP="005E0254">
      <w:pPr>
        <w:spacing w:after="40" w:line="240" w:lineRule="auto"/>
        <w:rPr>
          <w:rFonts w:ascii="Verdana" w:hAnsi="Verdana"/>
          <w:sz w:val="16"/>
          <w:szCs w:val="16"/>
        </w:rPr>
      </w:pPr>
    </w:p>
    <w:p w:rsidR="00003CE5" w:rsidRDefault="00003CE5" w:rsidP="005E0254">
      <w:pPr>
        <w:spacing w:after="40" w:line="240" w:lineRule="auto"/>
        <w:rPr>
          <w:rFonts w:ascii="Verdana" w:hAnsi="Verdana"/>
        </w:rPr>
      </w:pPr>
      <w:r w:rsidRPr="00003CE5">
        <w:rPr>
          <w:rFonts w:ascii="Verdana" w:hAnsi="Verdana"/>
          <w:b/>
        </w:rPr>
        <w:t>Closing the Social-Class Achievement Gap: A Difference-Education Intervention Improves First-Generation Students' Academic Performance and All Students' College Transition</w:t>
      </w:r>
      <w:r w:rsidR="008876AC">
        <w:rPr>
          <w:rFonts w:ascii="Verdana" w:hAnsi="Verdana"/>
          <w:b/>
        </w:rPr>
        <w:t xml:space="preserve"> </w:t>
      </w:r>
      <w:r w:rsidR="008876AC" w:rsidRPr="008876AC">
        <w:rPr>
          <w:rFonts w:ascii="Verdana" w:hAnsi="Verdana"/>
        </w:rPr>
        <w:t>(Stephens et al, 2014)</w:t>
      </w:r>
    </w:p>
    <w:p w:rsidR="005E0254" w:rsidRPr="00EE5D83" w:rsidRDefault="005E0254" w:rsidP="005E0254">
      <w:pPr>
        <w:spacing w:after="40" w:line="240" w:lineRule="auto"/>
        <w:rPr>
          <w:rFonts w:ascii="Verdana" w:hAnsi="Verdana"/>
          <w:sz w:val="16"/>
          <w:szCs w:val="16"/>
        </w:rPr>
      </w:pPr>
    </w:p>
    <w:p w:rsidR="00003CE5" w:rsidRDefault="00A44E0A" w:rsidP="005E0254">
      <w:pPr>
        <w:spacing w:after="40" w:line="240" w:lineRule="auto"/>
        <w:rPr>
          <w:rFonts w:ascii="Verdana" w:hAnsi="Verdana"/>
        </w:rPr>
      </w:pPr>
      <w:r w:rsidRPr="00003CE5">
        <w:rPr>
          <w:rFonts w:ascii="Verdana" w:hAnsi="Verdana"/>
        </w:rPr>
        <w:t>In this</w:t>
      </w:r>
      <w:r w:rsidR="00B01482" w:rsidRPr="00003CE5">
        <w:rPr>
          <w:rFonts w:ascii="Verdana" w:hAnsi="Verdana"/>
        </w:rPr>
        <w:t xml:space="preserve"> hour-long</w:t>
      </w:r>
      <w:r w:rsidRPr="00003CE5">
        <w:rPr>
          <w:rFonts w:ascii="Verdana" w:hAnsi="Verdana"/>
        </w:rPr>
        <w:t xml:space="preserve"> intervention, students </w:t>
      </w:r>
      <w:proofErr w:type="gramStart"/>
      <w:r w:rsidRPr="00003CE5">
        <w:rPr>
          <w:rFonts w:ascii="Verdana" w:hAnsi="Verdana"/>
        </w:rPr>
        <w:t>were invited</w:t>
      </w:r>
      <w:proofErr w:type="gramEnd"/>
      <w:r w:rsidRPr="00003CE5">
        <w:rPr>
          <w:rFonts w:ascii="Verdana" w:hAnsi="Verdana"/>
        </w:rPr>
        <w:t xml:space="preserve"> to a student panel</w:t>
      </w:r>
      <w:r w:rsidR="000910D1" w:rsidRPr="00003CE5">
        <w:rPr>
          <w:rFonts w:ascii="Verdana" w:hAnsi="Verdana"/>
        </w:rPr>
        <w:t xml:space="preserve"> </w:t>
      </w:r>
      <w:r w:rsidRPr="00003CE5">
        <w:rPr>
          <w:rFonts w:ascii="Verdana" w:hAnsi="Verdana"/>
        </w:rPr>
        <w:t xml:space="preserve">that they were told was part of a project to improve student transition. </w:t>
      </w:r>
      <w:r w:rsidR="00003CE5">
        <w:rPr>
          <w:rFonts w:ascii="Verdana" w:hAnsi="Verdana"/>
        </w:rPr>
        <w:t xml:space="preserve">The student panel </w:t>
      </w:r>
      <w:r w:rsidR="00003CE5" w:rsidRPr="00003CE5">
        <w:rPr>
          <w:rFonts w:ascii="Verdana" w:hAnsi="Verdana"/>
        </w:rPr>
        <w:t>contained a culturally diverse group of senior peers, and they responded to planned questions that asked about their transition to college and how they achieved success</w:t>
      </w:r>
      <w:r w:rsidR="00003CE5">
        <w:rPr>
          <w:rFonts w:ascii="Verdana" w:hAnsi="Verdana"/>
        </w:rPr>
        <w:t xml:space="preserve">. </w:t>
      </w:r>
      <w:r w:rsidR="00003CE5" w:rsidRPr="00003CE5">
        <w:rPr>
          <w:rFonts w:ascii="Verdana" w:hAnsi="Verdana"/>
        </w:rPr>
        <w:t xml:space="preserve">Students </w:t>
      </w:r>
      <w:proofErr w:type="gramStart"/>
      <w:r w:rsidR="00003CE5" w:rsidRPr="00003CE5">
        <w:rPr>
          <w:rFonts w:ascii="Verdana" w:hAnsi="Verdana"/>
        </w:rPr>
        <w:t>were then assigned</w:t>
      </w:r>
      <w:proofErr w:type="gramEnd"/>
      <w:r w:rsidR="00003CE5" w:rsidRPr="00003CE5">
        <w:rPr>
          <w:rFonts w:ascii="Verdana" w:hAnsi="Verdana"/>
        </w:rPr>
        <w:t xml:space="preserve"> to one of two </w:t>
      </w:r>
      <w:r w:rsidR="00003CE5">
        <w:rPr>
          <w:rFonts w:ascii="Verdana" w:hAnsi="Verdana"/>
        </w:rPr>
        <w:t>groups</w:t>
      </w:r>
      <w:r w:rsidR="00003CE5" w:rsidRPr="00003CE5">
        <w:rPr>
          <w:rFonts w:ascii="Verdana" w:hAnsi="Verdana"/>
        </w:rPr>
        <w:t>.</w:t>
      </w:r>
    </w:p>
    <w:p w:rsidR="005E0254" w:rsidRDefault="005E0254" w:rsidP="005E0254">
      <w:pPr>
        <w:spacing w:after="40" w:line="240" w:lineRule="auto"/>
        <w:rPr>
          <w:rFonts w:ascii="Verdana" w:hAnsi="Verdana"/>
        </w:rPr>
      </w:pPr>
    </w:p>
    <w:p w:rsidR="00003CE5" w:rsidRDefault="00003CE5" w:rsidP="005E0254">
      <w:pPr>
        <w:pStyle w:val="ListParagraph"/>
        <w:numPr>
          <w:ilvl w:val="0"/>
          <w:numId w:val="4"/>
        </w:numPr>
        <w:spacing w:after="40" w:line="240" w:lineRule="auto"/>
        <w:rPr>
          <w:rFonts w:ascii="Verdana" w:hAnsi="Verdana"/>
        </w:rPr>
      </w:pPr>
      <w:r w:rsidRPr="00003CE5">
        <w:rPr>
          <w:rFonts w:ascii="Verdana" w:hAnsi="Verdana"/>
        </w:rPr>
        <w:t xml:space="preserve">In the first group, the </w:t>
      </w:r>
      <w:r w:rsidR="00DF6FDE" w:rsidRPr="00003CE5">
        <w:rPr>
          <w:rFonts w:ascii="Verdana" w:hAnsi="Verdana"/>
        </w:rPr>
        <w:t>‘difference-education’ group</w:t>
      </w:r>
      <w:r w:rsidRPr="00003CE5">
        <w:rPr>
          <w:rFonts w:ascii="Verdana" w:hAnsi="Verdana"/>
        </w:rPr>
        <w:t xml:space="preserve">, </w:t>
      </w:r>
      <w:r w:rsidR="006C6A1E" w:rsidRPr="00003CE5">
        <w:rPr>
          <w:rFonts w:ascii="Verdana" w:hAnsi="Verdana"/>
        </w:rPr>
        <w:t>the</w:t>
      </w:r>
      <w:r w:rsidRPr="00003CE5">
        <w:rPr>
          <w:rFonts w:ascii="Verdana" w:hAnsi="Verdana"/>
        </w:rPr>
        <w:t xml:space="preserve"> student panel </w:t>
      </w:r>
      <w:r w:rsidR="001A73C2" w:rsidRPr="00003CE5">
        <w:rPr>
          <w:rFonts w:ascii="Verdana" w:hAnsi="Verdana"/>
          <w:b/>
        </w:rPr>
        <w:t>related their answers to their own backgrounds and personal stories</w:t>
      </w:r>
      <w:r w:rsidR="001A73C2" w:rsidRPr="00003CE5">
        <w:rPr>
          <w:rFonts w:ascii="Verdana" w:hAnsi="Verdana"/>
        </w:rPr>
        <w:t xml:space="preserve">. One student </w:t>
      </w:r>
      <w:r w:rsidR="00B01482" w:rsidRPr="00003CE5">
        <w:rPr>
          <w:rFonts w:ascii="Verdana" w:hAnsi="Verdana"/>
        </w:rPr>
        <w:t>panellist</w:t>
      </w:r>
      <w:r w:rsidR="001A73C2" w:rsidRPr="00003CE5">
        <w:rPr>
          <w:rFonts w:ascii="Verdana" w:hAnsi="Verdana"/>
        </w:rPr>
        <w:t xml:space="preserve"> for example explained that, as a first generation student, their parents </w:t>
      </w:r>
      <w:proofErr w:type="gramStart"/>
      <w:r w:rsidR="001A73C2" w:rsidRPr="00003CE5">
        <w:rPr>
          <w:rFonts w:ascii="Verdana" w:hAnsi="Verdana"/>
        </w:rPr>
        <w:t>weren’t</w:t>
      </w:r>
      <w:proofErr w:type="gramEnd"/>
      <w:r w:rsidR="001A73C2" w:rsidRPr="00003CE5">
        <w:rPr>
          <w:rFonts w:ascii="Verdana" w:hAnsi="Verdana"/>
        </w:rPr>
        <w:t xml:space="preserve"> always able to give advice and they learnt that it was more helpful to ask a student advisor rather than other students. </w:t>
      </w:r>
    </w:p>
    <w:p w:rsidR="005E0254" w:rsidRPr="005E0254" w:rsidRDefault="005E0254" w:rsidP="005E0254">
      <w:pPr>
        <w:spacing w:after="40" w:line="240" w:lineRule="auto"/>
        <w:rPr>
          <w:rFonts w:ascii="Verdana" w:hAnsi="Verdana"/>
        </w:rPr>
      </w:pPr>
    </w:p>
    <w:p w:rsidR="000910D1" w:rsidRDefault="001A73C2" w:rsidP="005E0254">
      <w:pPr>
        <w:pStyle w:val="ListParagraph"/>
        <w:numPr>
          <w:ilvl w:val="0"/>
          <w:numId w:val="4"/>
        </w:numPr>
        <w:spacing w:after="40" w:line="240" w:lineRule="auto"/>
        <w:rPr>
          <w:rFonts w:ascii="Verdana" w:hAnsi="Verdana"/>
        </w:rPr>
      </w:pPr>
      <w:r w:rsidRPr="00003CE5">
        <w:rPr>
          <w:rFonts w:ascii="Verdana" w:hAnsi="Verdana"/>
        </w:rPr>
        <w:t>In the</w:t>
      </w:r>
      <w:r w:rsidR="00003CE5">
        <w:rPr>
          <w:rFonts w:ascii="Verdana" w:hAnsi="Verdana"/>
        </w:rPr>
        <w:t xml:space="preserve"> second group, the</w:t>
      </w:r>
      <w:r w:rsidRPr="00003CE5">
        <w:rPr>
          <w:rFonts w:ascii="Verdana" w:hAnsi="Verdana"/>
        </w:rPr>
        <w:t xml:space="preserve"> control group</w:t>
      </w:r>
      <w:r w:rsidR="00003CE5">
        <w:rPr>
          <w:rFonts w:ascii="Verdana" w:hAnsi="Verdana"/>
        </w:rPr>
        <w:t>,</w:t>
      </w:r>
      <w:r w:rsidRPr="00003CE5">
        <w:rPr>
          <w:rFonts w:ascii="Verdana" w:hAnsi="Verdana"/>
        </w:rPr>
        <w:t xml:space="preserve"> students gave the same advice but without reference to their own backgrounds. </w:t>
      </w:r>
    </w:p>
    <w:p w:rsidR="005E0254" w:rsidRPr="005E0254" w:rsidRDefault="005E0254" w:rsidP="005E0254">
      <w:pPr>
        <w:pStyle w:val="ListParagraph"/>
        <w:rPr>
          <w:rFonts w:ascii="Verdana" w:hAnsi="Verdana"/>
        </w:rPr>
      </w:pPr>
    </w:p>
    <w:p w:rsidR="000910D1" w:rsidRPr="00003CE5" w:rsidRDefault="00B01482" w:rsidP="005E0254">
      <w:pPr>
        <w:spacing w:after="40" w:line="240" w:lineRule="auto"/>
        <w:rPr>
          <w:rFonts w:ascii="Verdana" w:hAnsi="Verdana"/>
        </w:rPr>
      </w:pPr>
      <w:r w:rsidRPr="00003CE5">
        <w:rPr>
          <w:rFonts w:ascii="Verdana" w:hAnsi="Verdana"/>
        </w:rPr>
        <w:t xml:space="preserve">It </w:t>
      </w:r>
      <w:proofErr w:type="gramStart"/>
      <w:r w:rsidRPr="00003CE5">
        <w:rPr>
          <w:rFonts w:ascii="Verdana" w:hAnsi="Verdana"/>
        </w:rPr>
        <w:t>was found</w:t>
      </w:r>
      <w:proofErr w:type="gramEnd"/>
      <w:r w:rsidRPr="00003CE5">
        <w:rPr>
          <w:rFonts w:ascii="Verdana" w:hAnsi="Verdana"/>
        </w:rPr>
        <w:t xml:space="preserve"> that </w:t>
      </w:r>
      <w:r w:rsidR="009A7F18" w:rsidRPr="00734B77">
        <w:rPr>
          <w:rFonts w:ascii="Verdana" w:hAnsi="Verdana"/>
          <w:b/>
        </w:rPr>
        <w:t>student</w:t>
      </w:r>
      <w:r w:rsidRPr="00734B77">
        <w:rPr>
          <w:rFonts w:ascii="Verdana" w:hAnsi="Verdana"/>
          <w:b/>
        </w:rPr>
        <w:t xml:space="preserve"> grades did not differ significantly in the ‘difference education’ group between first generation and continuing generation students</w:t>
      </w:r>
      <w:r w:rsidRPr="00003CE5">
        <w:rPr>
          <w:rFonts w:ascii="Verdana" w:hAnsi="Verdana"/>
        </w:rPr>
        <w:t xml:space="preserve">, </w:t>
      </w:r>
      <w:r w:rsidR="00FF2473" w:rsidRPr="00003CE5">
        <w:rPr>
          <w:rFonts w:ascii="Verdana" w:hAnsi="Verdana"/>
        </w:rPr>
        <w:t xml:space="preserve">whereas </w:t>
      </w:r>
      <w:r w:rsidR="003B6D02" w:rsidRPr="00003CE5">
        <w:rPr>
          <w:rFonts w:ascii="Verdana" w:hAnsi="Verdana"/>
        </w:rPr>
        <w:t xml:space="preserve">there was a difference </w:t>
      </w:r>
      <w:r w:rsidR="00FF2473" w:rsidRPr="00003CE5">
        <w:rPr>
          <w:rFonts w:ascii="Verdana" w:hAnsi="Verdana"/>
        </w:rPr>
        <w:t xml:space="preserve">in </w:t>
      </w:r>
      <w:r w:rsidR="009A7F18" w:rsidRPr="00003CE5">
        <w:rPr>
          <w:rFonts w:ascii="Verdana" w:hAnsi="Verdana"/>
        </w:rPr>
        <w:t>attainment</w:t>
      </w:r>
      <w:r w:rsidR="00734B77">
        <w:rPr>
          <w:rFonts w:ascii="Verdana" w:hAnsi="Verdana"/>
        </w:rPr>
        <w:t xml:space="preserve"> between first and continuing generation students</w:t>
      </w:r>
      <w:r w:rsidR="009A7F18" w:rsidRPr="00003CE5">
        <w:rPr>
          <w:rFonts w:ascii="Verdana" w:hAnsi="Verdana"/>
        </w:rPr>
        <w:t xml:space="preserve"> in</w:t>
      </w:r>
      <w:r w:rsidR="00FF2473" w:rsidRPr="00003CE5">
        <w:rPr>
          <w:rFonts w:ascii="Verdana" w:hAnsi="Verdana"/>
        </w:rPr>
        <w:t xml:space="preserve"> </w:t>
      </w:r>
      <w:r w:rsidR="00734B77">
        <w:rPr>
          <w:rFonts w:ascii="Verdana" w:hAnsi="Verdana"/>
        </w:rPr>
        <w:t xml:space="preserve">the </w:t>
      </w:r>
      <w:r w:rsidR="00FF2473" w:rsidRPr="00003CE5">
        <w:rPr>
          <w:rFonts w:ascii="Verdana" w:hAnsi="Verdana"/>
        </w:rPr>
        <w:t xml:space="preserve">control group. It </w:t>
      </w:r>
      <w:proofErr w:type="gramStart"/>
      <w:r w:rsidR="00FF2473" w:rsidRPr="00003CE5">
        <w:rPr>
          <w:rFonts w:ascii="Verdana" w:hAnsi="Verdana"/>
        </w:rPr>
        <w:t xml:space="preserve">is </w:t>
      </w:r>
      <w:r w:rsidR="009A7F18" w:rsidRPr="00003CE5">
        <w:rPr>
          <w:rFonts w:ascii="Verdana" w:hAnsi="Verdana"/>
        </w:rPr>
        <w:t>thought</w:t>
      </w:r>
      <w:proofErr w:type="gramEnd"/>
      <w:r w:rsidR="00FF2473" w:rsidRPr="00003CE5">
        <w:rPr>
          <w:rFonts w:ascii="Verdana" w:hAnsi="Verdana"/>
        </w:rPr>
        <w:t xml:space="preserve"> that this </w:t>
      </w:r>
      <w:r w:rsidR="009A7F18" w:rsidRPr="00003CE5">
        <w:rPr>
          <w:rFonts w:ascii="Verdana" w:hAnsi="Verdana"/>
        </w:rPr>
        <w:t>was due</w:t>
      </w:r>
      <w:r w:rsidR="00FF2473" w:rsidRPr="00003CE5">
        <w:rPr>
          <w:rFonts w:ascii="Verdana" w:hAnsi="Verdana"/>
        </w:rPr>
        <w:t xml:space="preserve"> in part because first generation students in this first group were </w:t>
      </w:r>
      <w:r w:rsidR="00FF2473" w:rsidRPr="008876AC">
        <w:rPr>
          <w:rFonts w:ascii="Verdana" w:hAnsi="Verdana"/>
          <w:b/>
        </w:rPr>
        <w:t xml:space="preserve">equally </w:t>
      </w:r>
      <w:r w:rsidR="009A7F18" w:rsidRPr="008876AC">
        <w:rPr>
          <w:rFonts w:ascii="Verdana" w:hAnsi="Verdana"/>
          <w:b/>
        </w:rPr>
        <w:t>likely</w:t>
      </w:r>
      <w:r w:rsidR="00FF2473" w:rsidRPr="008876AC">
        <w:rPr>
          <w:rFonts w:ascii="Verdana" w:hAnsi="Verdana"/>
          <w:b/>
        </w:rPr>
        <w:t xml:space="preserve"> to take </w:t>
      </w:r>
      <w:r w:rsidR="009A7F18" w:rsidRPr="008876AC">
        <w:rPr>
          <w:rFonts w:ascii="Verdana" w:hAnsi="Verdana"/>
          <w:b/>
        </w:rPr>
        <w:t>advantage</w:t>
      </w:r>
      <w:r w:rsidR="00FF2473" w:rsidRPr="008876AC">
        <w:rPr>
          <w:rFonts w:ascii="Verdana" w:hAnsi="Verdana"/>
          <w:b/>
        </w:rPr>
        <w:t xml:space="preserve"> of </w:t>
      </w:r>
      <w:r w:rsidR="00663CC2" w:rsidRPr="008876AC">
        <w:rPr>
          <w:rFonts w:ascii="Verdana" w:hAnsi="Verdana"/>
          <w:b/>
        </w:rPr>
        <w:t>academic</w:t>
      </w:r>
      <w:r w:rsidR="00FF2473" w:rsidRPr="008876AC">
        <w:rPr>
          <w:rFonts w:ascii="Verdana" w:hAnsi="Verdana"/>
          <w:b/>
        </w:rPr>
        <w:t xml:space="preserve"> support and resources</w:t>
      </w:r>
      <w:r w:rsidR="00FF2473" w:rsidRPr="00003CE5">
        <w:rPr>
          <w:rFonts w:ascii="Verdana" w:hAnsi="Verdana"/>
        </w:rPr>
        <w:t xml:space="preserve"> as </w:t>
      </w:r>
      <w:r w:rsidR="00663CC2" w:rsidRPr="00003CE5">
        <w:rPr>
          <w:rFonts w:ascii="Verdana" w:hAnsi="Verdana"/>
        </w:rPr>
        <w:t>continuing</w:t>
      </w:r>
      <w:r w:rsidR="00FF2473" w:rsidRPr="00003CE5">
        <w:rPr>
          <w:rFonts w:ascii="Verdana" w:hAnsi="Verdana"/>
        </w:rPr>
        <w:t xml:space="preserve"> generation </w:t>
      </w:r>
      <w:r w:rsidR="00663CC2" w:rsidRPr="00003CE5">
        <w:rPr>
          <w:rFonts w:ascii="Verdana" w:hAnsi="Verdana"/>
        </w:rPr>
        <w:t>students</w:t>
      </w:r>
      <w:r w:rsidR="00734B77">
        <w:rPr>
          <w:rFonts w:ascii="Verdana" w:hAnsi="Verdana"/>
        </w:rPr>
        <w:t xml:space="preserve"> after this intervention</w:t>
      </w:r>
      <w:r w:rsidR="00FF2473" w:rsidRPr="00003CE5">
        <w:rPr>
          <w:rFonts w:ascii="Verdana" w:hAnsi="Verdana"/>
        </w:rPr>
        <w:t xml:space="preserve">. </w:t>
      </w:r>
    </w:p>
    <w:p w:rsidR="000910D1" w:rsidRDefault="000910D1" w:rsidP="005E0254">
      <w:pPr>
        <w:spacing w:after="40" w:line="240" w:lineRule="auto"/>
        <w:rPr>
          <w:rFonts w:ascii="Verdana" w:hAnsi="Verdana"/>
          <w:sz w:val="20"/>
          <w:szCs w:val="20"/>
        </w:rPr>
      </w:pPr>
    </w:p>
    <w:p w:rsidR="005B3C47" w:rsidRDefault="005B3C47" w:rsidP="005E0254">
      <w:pPr>
        <w:pStyle w:val="ListParagraph"/>
        <w:spacing w:after="40" w:line="240" w:lineRule="auto"/>
        <w:rPr>
          <w:rFonts w:ascii="Verdana" w:hAnsi="Verdana"/>
          <w:sz w:val="20"/>
          <w:szCs w:val="20"/>
        </w:rPr>
      </w:pPr>
    </w:p>
    <w:p w:rsidR="00EE5D83" w:rsidRDefault="00EE5D83" w:rsidP="005E0254">
      <w:pPr>
        <w:spacing w:after="40" w:line="240" w:lineRule="auto"/>
        <w:rPr>
          <w:rFonts w:ascii="Verdana" w:hAnsi="Verdana"/>
          <w:b/>
          <w:sz w:val="36"/>
          <w:szCs w:val="36"/>
        </w:rPr>
      </w:pPr>
    </w:p>
    <w:p w:rsidR="00D00834" w:rsidRPr="00847197" w:rsidRDefault="00D00834" w:rsidP="005E0254">
      <w:pPr>
        <w:spacing w:after="40" w:line="240" w:lineRule="auto"/>
        <w:rPr>
          <w:rFonts w:ascii="Verdana" w:hAnsi="Verdana"/>
          <w:b/>
          <w:sz w:val="36"/>
          <w:szCs w:val="36"/>
        </w:rPr>
      </w:pPr>
      <w:r w:rsidRPr="00847197">
        <w:rPr>
          <w:rFonts w:ascii="Verdana" w:hAnsi="Verdana"/>
          <w:b/>
          <w:sz w:val="36"/>
          <w:szCs w:val="36"/>
        </w:rPr>
        <w:t>Wise feedback</w:t>
      </w:r>
    </w:p>
    <w:p w:rsidR="00106FC4" w:rsidRPr="00106FC4" w:rsidRDefault="00106FC4" w:rsidP="005E0254">
      <w:pPr>
        <w:spacing w:after="40" w:line="240" w:lineRule="auto"/>
        <w:rPr>
          <w:rFonts w:ascii="Verdana" w:hAnsi="Verdana"/>
          <w:b/>
          <w:sz w:val="16"/>
          <w:szCs w:val="16"/>
        </w:rPr>
      </w:pPr>
    </w:p>
    <w:p w:rsidR="008876AC" w:rsidRPr="008876AC" w:rsidRDefault="008876AC" w:rsidP="005E0254">
      <w:pPr>
        <w:spacing w:after="40" w:line="240" w:lineRule="auto"/>
        <w:rPr>
          <w:rFonts w:ascii="Verdana" w:hAnsi="Verdana"/>
        </w:rPr>
      </w:pPr>
      <w:r w:rsidRPr="008876AC">
        <w:rPr>
          <w:rFonts w:ascii="Verdana" w:hAnsi="Verdana"/>
          <w:b/>
        </w:rPr>
        <w:t xml:space="preserve">Breaking the Cycle of Mistrust: Wise Interventions to Provide Critical Feedback </w:t>
      </w:r>
      <w:proofErr w:type="gramStart"/>
      <w:r w:rsidRPr="008876AC">
        <w:rPr>
          <w:rFonts w:ascii="Verdana" w:hAnsi="Verdana"/>
          <w:b/>
        </w:rPr>
        <w:t>Across</w:t>
      </w:r>
      <w:proofErr w:type="gramEnd"/>
      <w:r w:rsidRPr="008876AC">
        <w:rPr>
          <w:rFonts w:ascii="Verdana" w:hAnsi="Verdana"/>
          <w:b/>
        </w:rPr>
        <w:t xml:space="preserve"> the Racial Divide</w:t>
      </w:r>
      <w:r>
        <w:rPr>
          <w:rFonts w:ascii="Verdana" w:hAnsi="Verdana"/>
          <w:b/>
        </w:rPr>
        <w:t xml:space="preserve"> </w:t>
      </w:r>
      <w:r w:rsidRPr="008876AC">
        <w:rPr>
          <w:rFonts w:ascii="Verdana" w:hAnsi="Verdana"/>
        </w:rPr>
        <w:t>(Yeager et al, 2014)</w:t>
      </w:r>
    </w:p>
    <w:p w:rsidR="008876AC" w:rsidRDefault="008876AC" w:rsidP="005E0254">
      <w:pPr>
        <w:spacing w:after="40" w:line="240" w:lineRule="auto"/>
        <w:rPr>
          <w:rFonts w:ascii="Verdana" w:hAnsi="Verdana"/>
        </w:rPr>
      </w:pPr>
    </w:p>
    <w:p w:rsidR="00D00834" w:rsidRPr="00D54644" w:rsidRDefault="00D00834" w:rsidP="005E0254">
      <w:pPr>
        <w:spacing w:after="40" w:line="240" w:lineRule="auto"/>
        <w:rPr>
          <w:rFonts w:ascii="Verdana" w:hAnsi="Verdana"/>
        </w:rPr>
      </w:pPr>
      <w:r w:rsidRPr="00D54644">
        <w:rPr>
          <w:rFonts w:ascii="Verdana" w:hAnsi="Verdana"/>
        </w:rPr>
        <w:t xml:space="preserve">Current research in the USA to raise student attainment looks at how to build trust between the tutor and student. It is thought that critical feedback can reinforce students’ lack of confidence in their own ability (Yeager and </w:t>
      </w:r>
      <w:proofErr w:type="spellStart"/>
      <w:r w:rsidRPr="00D54644">
        <w:rPr>
          <w:rFonts w:ascii="Verdana" w:hAnsi="Verdana"/>
        </w:rPr>
        <w:t>Dweck</w:t>
      </w:r>
      <w:proofErr w:type="spellEnd"/>
      <w:r w:rsidRPr="00D54644">
        <w:rPr>
          <w:rFonts w:ascii="Verdana" w:hAnsi="Verdana"/>
        </w:rPr>
        <w:t xml:space="preserve">, 2012), and reinforce students’ mistrust of tutors due to concern that they are being seen “through the lens of a negative stereotype” (Yeager et al, 2014, p 805). </w:t>
      </w:r>
    </w:p>
    <w:p w:rsidR="00D00834" w:rsidRPr="00D54644" w:rsidRDefault="00D00834" w:rsidP="005E0254">
      <w:pPr>
        <w:spacing w:after="40" w:line="240" w:lineRule="auto"/>
        <w:rPr>
          <w:rFonts w:ascii="Verdana" w:hAnsi="Verdana"/>
        </w:rPr>
      </w:pPr>
    </w:p>
    <w:p w:rsidR="00D00834" w:rsidRPr="00D54644" w:rsidRDefault="00D00834" w:rsidP="005E0254">
      <w:pPr>
        <w:spacing w:after="40" w:line="240" w:lineRule="auto"/>
        <w:rPr>
          <w:rFonts w:ascii="Verdana" w:hAnsi="Verdana"/>
        </w:rPr>
      </w:pPr>
      <w:r w:rsidRPr="00D54644">
        <w:rPr>
          <w:rFonts w:ascii="Verdana" w:hAnsi="Verdana"/>
        </w:rPr>
        <w:t xml:space="preserve">Yeager et al have explored how to give feedback in a way that encourages “students to </w:t>
      </w:r>
      <w:r w:rsidRPr="00D54644">
        <w:rPr>
          <w:rFonts w:ascii="Verdana" w:hAnsi="Verdana"/>
          <w:b/>
        </w:rPr>
        <w:t>attribute critical feedback to their teacher’s high standards</w:t>
      </w:r>
      <w:r w:rsidRPr="00D54644">
        <w:rPr>
          <w:rFonts w:ascii="Verdana" w:hAnsi="Verdana"/>
        </w:rPr>
        <w:t xml:space="preserve"> and his or her belief in </w:t>
      </w:r>
      <w:r w:rsidRPr="00D54644">
        <w:rPr>
          <w:rFonts w:ascii="Verdana" w:hAnsi="Verdana"/>
          <w:b/>
        </w:rPr>
        <w:t>their potential to reach those standards</w:t>
      </w:r>
      <w:r w:rsidRPr="00D54644">
        <w:rPr>
          <w:rFonts w:ascii="Verdana" w:hAnsi="Verdana"/>
        </w:rPr>
        <w:t xml:space="preserve">” (Yeager et al, 2014, p805). </w:t>
      </w:r>
    </w:p>
    <w:p w:rsidR="00D00834" w:rsidRPr="00D54644" w:rsidRDefault="00D00834" w:rsidP="005E0254">
      <w:pPr>
        <w:spacing w:after="40" w:line="240" w:lineRule="auto"/>
        <w:rPr>
          <w:rFonts w:ascii="Verdana" w:hAnsi="Verdana"/>
        </w:rPr>
      </w:pPr>
    </w:p>
    <w:p w:rsidR="00D00834" w:rsidRPr="00D54644" w:rsidRDefault="006C6A1E" w:rsidP="005E0254">
      <w:pPr>
        <w:spacing w:after="40" w:line="240" w:lineRule="auto"/>
        <w:rPr>
          <w:rFonts w:ascii="Verdana" w:hAnsi="Verdana"/>
        </w:rPr>
      </w:pPr>
      <w:r>
        <w:rPr>
          <w:rFonts w:ascii="Verdana" w:hAnsi="Verdana"/>
        </w:rPr>
        <w:t>In this intervention, s</w:t>
      </w:r>
      <w:r w:rsidR="00D00834" w:rsidRPr="00D54644">
        <w:rPr>
          <w:rFonts w:ascii="Verdana" w:hAnsi="Verdana"/>
        </w:rPr>
        <w:t>tudents were shown peer testimonials that included photos of students from a range of backgrounds that attributed tutor feedback to high expectations. African American students (aged 14-18 years) who took part in the intervention were less likely to fail and more likely to achieve higher grades, “closing the racial attainment gap in the sample by nearly 40%” (ibid, p820).</w:t>
      </w:r>
    </w:p>
    <w:p w:rsidR="00D00834" w:rsidRDefault="00D00834" w:rsidP="005E0254">
      <w:pPr>
        <w:spacing w:after="40" w:line="240" w:lineRule="auto"/>
        <w:rPr>
          <w:rFonts w:ascii="Verdana" w:hAnsi="Verdana"/>
          <w:b/>
          <w:sz w:val="20"/>
          <w:szCs w:val="20"/>
        </w:rPr>
      </w:pPr>
      <w:r>
        <w:rPr>
          <w:rFonts w:ascii="Verdana" w:hAnsi="Verdana"/>
          <w:b/>
          <w:sz w:val="20"/>
          <w:szCs w:val="20"/>
        </w:rPr>
        <w:br w:type="page"/>
      </w:r>
    </w:p>
    <w:p w:rsidR="00847197" w:rsidRDefault="00847197" w:rsidP="006C6A1E">
      <w:pPr>
        <w:spacing w:after="40" w:line="240" w:lineRule="auto"/>
        <w:rPr>
          <w:rFonts w:ascii="Verdana" w:hAnsi="Verdana"/>
          <w:b/>
          <w:sz w:val="28"/>
          <w:szCs w:val="28"/>
        </w:rPr>
      </w:pPr>
    </w:p>
    <w:p w:rsidR="00847197" w:rsidRDefault="00847197" w:rsidP="006C6A1E">
      <w:pPr>
        <w:spacing w:after="40" w:line="240" w:lineRule="auto"/>
        <w:rPr>
          <w:rFonts w:ascii="Verdana" w:hAnsi="Verdana"/>
          <w:b/>
          <w:sz w:val="28"/>
          <w:szCs w:val="28"/>
        </w:rPr>
      </w:pPr>
    </w:p>
    <w:p w:rsidR="00B415C2" w:rsidRPr="00D54644" w:rsidRDefault="00B415C2" w:rsidP="006C6A1E">
      <w:pPr>
        <w:spacing w:after="40" w:line="240" w:lineRule="auto"/>
        <w:rPr>
          <w:rFonts w:ascii="Verdana" w:hAnsi="Verdana"/>
          <w:b/>
          <w:sz w:val="28"/>
          <w:szCs w:val="28"/>
        </w:rPr>
      </w:pPr>
      <w:r w:rsidRPr="00D54644">
        <w:rPr>
          <w:rFonts w:ascii="Verdana" w:hAnsi="Verdana"/>
          <w:b/>
          <w:sz w:val="28"/>
          <w:szCs w:val="28"/>
        </w:rPr>
        <w:t>References</w:t>
      </w:r>
    </w:p>
    <w:p w:rsidR="001E2E48" w:rsidRPr="00D54644" w:rsidRDefault="001E2E48" w:rsidP="006C6A1E">
      <w:pPr>
        <w:spacing w:after="40" w:line="240" w:lineRule="auto"/>
        <w:rPr>
          <w:rFonts w:ascii="Verdana" w:hAnsi="Verdana"/>
        </w:rPr>
      </w:pPr>
      <w:r w:rsidRPr="00D54644">
        <w:rPr>
          <w:rFonts w:ascii="Verdana" w:hAnsi="Verdana"/>
        </w:rPr>
        <w:t xml:space="preserve">Stephens, N., </w:t>
      </w:r>
      <w:proofErr w:type="spellStart"/>
      <w:r w:rsidRPr="00D54644">
        <w:rPr>
          <w:rFonts w:ascii="Verdana" w:hAnsi="Verdana"/>
        </w:rPr>
        <w:t>Hamedani</w:t>
      </w:r>
      <w:proofErr w:type="spellEnd"/>
      <w:r w:rsidRPr="00D54644">
        <w:rPr>
          <w:rFonts w:ascii="Verdana" w:hAnsi="Verdana"/>
        </w:rPr>
        <w:t xml:space="preserve"> M., and Destin, M., 2014. Closing the Social-Class Achievement Gap: A Difference-Education Intervention Improves First-Generation Students' Academic Performance and All Students' College Transition [online]. </w:t>
      </w:r>
      <w:r w:rsidRPr="00D54644">
        <w:rPr>
          <w:rFonts w:ascii="Verdana" w:hAnsi="Verdana"/>
          <w:i/>
        </w:rPr>
        <w:t xml:space="preserve">Psychological Science </w:t>
      </w:r>
      <w:r w:rsidRPr="00D54644">
        <w:rPr>
          <w:rFonts w:ascii="Verdana" w:hAnsi="Verdana"/>
        </w:rPr>
        <w:t>25(4) pp. 1-11. Published online 19 February 2014 DOI</w:t>
      </w:r>
      <w:proofErr w:type="gramStart"/>
      <w:r w:rsidRPr="00D54644">
        <w:rPr>
          <w:rFonts w:ascii="Verdana" w:hAnsi="Verdana"/>
        </w:rPr>
        <w:t>:10.1177</w:t>
      </w:r>
      <w:proofErr w:type="gramEnd"/>
      <w:r w:rsidRPr="00D54644">
        <w:rPr>
          <w:rFonts w:ascii="Verdana" w:hAnsi="Verdana"/>
        </w:rPr>
        <w:t>/0956797613518349.</w:t>
      </w:r>
    </w:p>
    <w:p w:rsidR="001E2E48" w:rsidRPr="00D54644" w:rsidRDefault="001E2E48" w:rsidP="006C6A1E">
      <w:pPr>
        <w:spacing w:after="40" w:line="240" w:lineRule="auto"/>
        <w:rPr>
          <w:rFonts w:ascii="Verdana" w:hAnsi="Verdana" w:cs="Aharoni"/>
          <w:caps/>
        </w:rPr>
      </w:pPr>
    </w:p>
    <w:p w:rsidR="00D00834" w:rsidRDefault="00D00834" w:rsidP="006C6A1E">
      <w:pPr>
        <w:spacing w:after="40" w:line="240" w:lineRule="auto"/>
        <w:rPr>
          <w:rFonts w:ascii="Verdana" w:hAnsi="Verdana"/>
          <w:sz w:val="20"/>
          <w:szCs w:val="20"/>
        </w:rPr>
      </w:pPr>
    </w:p>
    <w:p w:rsidR="00D00834" w:rsidRDefault="00D00834" w:rsidP="006C6A1E">
      <w:pPr>
        <w:spacing w:after="40" w:line="240" w:lineRule="auto"/>
        <w:rPr>
          <w:rFonts w:ascii="Verdana" w:hAnsi="Verdana"/>
          <w:sz w:val="20"/>
          <w:szCs w:val="20"/>
        </w:rPr>
      </w:pPr>
    </w:p>
    <w:p w:rsidR="00D00834" w:rsidRDefault="00D00834" w:rsidP="006C6A1E">
      <w:pPr>
        <w:spacing w:after="40" w:line="240" w:lineRule="auto"/>
        <w:rPr>
          <w:rFonts w:ascii="Verdana" w:hAnsi="Verdana"/>
          <w:sz w:val="20"/>
          <w:szCs w:val="20"/>
        </w:rPr>
      </w:pPr>
    </w:p>
    <w:p w:rsidR="00D00834" w:rsidRDefault="00D00834" w:rsidP="006C6A1E">
      <w:pPr>
        <w:spacing w:after="40" w:line="240" w:lineRule="auto"/>
        <w:rPr>
          <w:rFonts w:ascii="Verdana" w:hAnsi="Verdana"/>
          <w:sz w:val="20"/>
          <w:szCs w:val="20"/>
        </w:rPr>
      </w:pPr>
    </w:p>
    <w:p w:rsidR="00D00834" w:rsidRDefault="00D00834" w:rsidP="006C6A1E">
      <w:pPr>
        <w:spacing w:after="40" w:line="240" w:lineRule="auto"/>
        <w:rPr>
          <w:rFonts w:ascii="Verdana" w:hAnsi="Verdana"/>
          <w:sz w:val="20"/>
          <w:szCs w:val="20"/>
        </w:rPr>
      </w:pPr>
    </w:p>
    <w:p w:rsidR="00D00834" w:rsidRDefault="00D00834" w:rsidP="006C6A1E">
      <w:pPr>
        <w:spacing w:after="40" w:line="240" w:lineRule="auto"/>
        <w:rPr>
          <w:rFonts w:ascii="Verdana" w:hAnsi="Verdana"/>
          <w:sz w:val="20"/>
          <w:szCs w:val="20"/>
        </w:rPr>
      </w:pPr>
    </w:p>
    <w:p w:rsidR="00D00834" w:rsidRDefault="00D00834" w:rsidP="006C6A1E">
      <w:pPr>
        <w:spacing w:after="40" w:line="240" w:lineRule="auto"/>
        <w:rPr>
          <w:rFonts w:ascii="Verdana" w:hAnsi="Verdana"/>
          <w:sz w:val="20"/>
          <w:szCs w:val="20"/>
        </w:rPr>
      </w:pPr>
    </w:p>
    <w:p w:rsidR="00847197" w:rsidRDefault="00847197" w:rsidP="006C6A1E">
      <w:pPr>
        <w:spacing w:after="40" w:line="240" w:lineRule="auto"/>
        <w:rPr>
          <w:rFonts w:ascii="Verdana" w:hAnsi="Verdana"/>
          <w:b/>
          <w:sz w:val="28"/>
          <w:szCs w:val="28"/>
        </w:rPr>
      </w:pPr>
    </w:p>
    <w:p w:rsidR="00847197" w:rsidRDefault="00847197" w:rsidP="006C6A1E">
      <w:pPr>
        <w:spacing w:after="40" w:line="240" w:lineRule="auto"/>
        <w:rPr>
          <w:rFonts w:ascii="Verdana" w:hAnsi="Verdana"/>
          <w:b/>
          <w:sz w:val="28"/>
          <w:szCs w:val="28"/>
        </w:rPr>
      </w:pPr>
    </w:p>
    <w:p w:rsidR="00847197" w:rsidRDefault="00847197" w:rsidP="006C6A1E">
      <w:pPr>
        <w:spacing w:after="40" w:line="240" w:lineRule="auto"/>
        <w:rPr>
          <w:rFonts w:ascii="Verdana" w:hAnsi="Verdana"/>
          <w:b/>
          <w:sz w:val="28"/>
          <w:szCs w:val="28"/>
        </w:rPr>
      </w:pPr>
    </w:p>
    <w:p w:rsidR="00847197" w:rsidRDefault="00847197" w:rsidP="006C6A1E">
      <w:pPr>
        <w:spacing w:after="40" w:line="240" w:lineRule="auto"/>
        <w:rPr>
          <w:rFonts w:ascii="Verdana" w:hAnsi="Verdana"/>
          <w:b/>
          <w:sz w:val="28"/>
          <w:szCs w:val="28"/>
        </w:rPr>
      </w:pPr>
    </w:p>
    <w:p w:rsidR="00847197" w:rsidRDefault="00847197" w:rsidP="006C6A1E">
      <w:pPr>
        <w:spacing w:after="40" w:line="240" w:lineRule="auto"/>
        <w:rPr>
          <w:rFonts w:ascii="Verdana" w:hAnsi="Verdana"/>
          <w:b/>
          <w:sz w:val="28"/>
          <w:szCs w:val="28"/>
        </w:rPr>
      </w:pPr>
    </w:p>
    <w:p w:rsidR="006A7188" w:rsidRDefault="006A7188" w:rsidP="006C6A1E">
      <w:pPr>
        <w:spacing w:after="40" w:line="240" w:lineRule="auto"/>
        <w:rPr>
          <w:rFonts w:ascii="Verdana" w:hAnsi="Verdana"/>
          <w:b/>
          <w:sz w:val="28"/>
          <w:szCs w:val="28"/>
        </w:rPr>
      </w:pPr>
    </w:p>
    <w:p w:rsidR="006A7188" w:rsidRDefault="006A7188" w:rsidP="006C6A1E">
      <w:pPr>
        <w:spacing w:after="40" w:line="240" w:lineRule="auto"/>
        <w:rPr>
          <w:rFonts w:ascii="Verdana" w:hAnsi="Verdana"/>
          <w:b/>
          <w:sz w:val="28"/>
          <w:szCs w:val="28"/>
        </w:rPr>
      </w:pPr>
    </w:p>
    <w:p w:rsidR="006A7188" w:rsidRDefault="006A7188" w:rsidP="006C6A1E">
      <w:pPr>
        <w:spacing w:after="40" w:line="240" w:lineRule="auto"/>
        <w:rPr>
          <w:rFonts w:ascii="Verdana" w:hAnsi="Verdana"/>
          <w:b/>
          <w:sz w:val="28"/>
          <w:szCs w:val="28"/>
        </w:rPr>
      </w:pPr>
    </w:p>
    <w:p w:rsidR="006A7188" w:rsidRDefault="006A7188" w:rsidP="006C6A1E">
      <w:pPr>
        <w:spacing w:after="40" w:line="240" w:lineRule="auto"/>
        <w:rPr>
          <w:rFonts w:ascii="Verdana" w:hAnsi="Verdana"/>
          <w:b/>
          <w:sz w:val="28"/>
          <w:szCs w:val="28"/>
        </w:rPr>
      </w:pPr>
    </w:p>
    <w:p w:rsidR="006A7188" w:rsidRDefault="006A7188" w:rsidP="006C6A1E">
      <w:pPr>
        <w:spacing w:after="40" w:line="240" w:lineRule="auto"/>
        <w:rPr>
          <w:rFonts w:ascii="Verdana" w:hAnsi="Verdana"/>
          <w:b/>
          <w:sz w:val="28"/>
          <w:szCs w:val="28"/>
        </w:rPr>
      </w:pPr>
    </w:p>
    <w:p w:rsidR="006A7188" w:rsidRDefault="006A7188" w:rsidP="006C6A1E">
      <w:pPr>
        <w:spacing w:after="40" w:line="240" w:lineRule="auto"/>
        <w:rPr>
          <w:rFonts w:ascii="Verdana" w:hAnsi="Verdana"/>
          <w:b/>
          <w:sz w:val="28"/>
          <w:szCs w:val="28"/>
        </w:rPr>
      </w:pPr>
    </w:p>
    <w:p w:rsidR="006A7188" w:rsidRDefault="006A7188" w:rsidP="006C6A1E">
      <w:pPr>
        <w:spacing w:after="40" w:line="240" w:lineRule="auto"/>
        <w:rPr>
          <w:rFonts w:ascii="Verdana" w:hAnsi="Verdana"/>
          <w:b/>
          <w:sz w:val="28"/>
          <w:szCs w:val="28"/>
        </w:rPr>
      </w:pPr>
    </w:p>
    <w:p w:rsidR="006A7188" w:rsidRDefault="006A7188" w:rsidP="006C6A1E">
      <w:pPr>
        <w:spacing w:after="40" w:line="240" w:lineRule="auto"/>
        <w:rPr>
          <w:rFonts w:ascii="Verdana" w:hAnsi="Verdana"/>
          <w:b/>
          <w:sz w:val="28"/>
          <w:szCs w:val="28"/>
        </w:rPr>
      </w:pPr>
    </w:p>
    <w:p w:rsidR="006A7188" w:rsidRDefault="006A7188" w:rsidP="006C6A1E">
      <w:pPr>
        <w:spacing w:after="40" w:line="240" w:lineRule="auto"/>
        <w:rPr>
          <w:rFonts w:ascii="Verdana" w:hAnsi="Verdana"/>
          <w:b/>
          <w:sz w:val="28"/>
          <w:szCs w:val="28"/>
        </w:rPr>
      </w:pPr>
    </w:p>
    <w:p w:rsidR="00FC4C56" w:rsidRDefault="00FC4C56" w:rsidP="006C6A1E">
      <w:pPr>
        <w:spacing w:after="40" w:line="240" w:lineRule="auto"/>
        <w:rPr>
          <w:rFonts w:ascii="Verdana" w:hAnsi="Verdana"/>
          <w:b/>
          <w:sz w:val="28"/>
          <w:szCs w:val="28"/>
        </w:rPr>
      </w:pPr>
    </w:p>
    <w:p w:rsidR="006A7188" w:rsidRDefault="006A7188" w:rsidP="006C6A1E">
      <w:pPr>
        <w:spacing w:after="40" w:line="240" w:lineRule="auto"/>
        <w:rPr>
          <w:rFonts w:ascii="Verdana" w:hAnsi="Verdana"/>
          <w:b/>
          <w:sz w:val="28"/>
          <w:szCs w:val="28"/>
        </w:rPr>
      </w:pPr>
    </w:p>
    <w:p w:rsidR="00E4649D" w:rsidRPr="00D54644" w:rsidRDefault="00E4649D" w:rsidP="006C6A1E">
      <w:pPr>
        <w:spacing w:after="40" w:line="240" w:lineRule="auto"/>
        <w:rPr>
          <w:rFonts w:ascii="Verdana" w:hAnsi="Verdana"/>
          <w:b/>
          <w:sz w:val="28"/>
          <w:szCs w:val="28"/>
        </w:rPr>
      </w:pPr>
      <w:r w:rsidRPr="00D54644">
        <w:rPr>
          <w:rFonts w:ascii="Verdana" w:hAnsi="Verdana"/>
          <w:b/>
          <w:sz w:val="28"/>
          <w:szCs w:val="28"/>
        </w:rPr>
        <w:t xml:space="preserve">References </w:t>
      </w:r>
    </w:p>
    <w:p w:rsidR="005A2F54" w:rsidRPr="00D54644" w:rsidRDefault="005A2F54" w:rsidP="006C6A1E">
      <w:pPr>
        <w:spacing w:after="40" w:line="240" w:lineRule="auto"/>
        <w:rPr>
          <w:rFonts w:ascii="Verdana" w:hAnsi="Verdana"/>
        </w:rPr>
      </w:pPr>
      <w:r w:rsidRPr="00D54644">
        <w:rPr>
          <w:rFonts w:ascii="Verdana" w:hAnsi="Verdana"/>
        </w:rPr>
        <w:t xml:space="preserve">The Open University, 2013. Equality and Diversity Annual Report 2013 [online]. Available at:  </w:t>
      </w:r>
      <w:hyperlink r:id="rId5" w:history="1">
        <w:r w:rsidRPr="00D54644">
          <w:rPr>
            <w:rStyle w:val="Hyperlink"/>
            <w:rFonts w:ascii="Verdana" w:hAnsi="Verdana"/>
          </w:rPr>
          <w:t>http://www.open.ac.uk/equality-diversity/sites/www.open.ac.uk.equality-diversity/files/files/ecms/web-content/Annual-Report-2013-Final.pdf</w:t>
        </w:r>
      </w:hyperlink>
      <w:r w:rsidRPr="00D54644">
        <w:rPr>
          <w:rFonts w:ascii="Verdana" w:hAnsi="Verdana"/>
          <w:u w:val="single"/>
        </w:rPr>
        <w:t>.</w:t>
      </w:r>
      <w:r w:rsidRPr="00D54644">
        <w:rPr>
          <w:rFonts w:ascii="Verdana" w:hAnsi="Verdana"/>
        </w:rPr>
        <w:t xml:space="preserve"> This is one of eight HEA funded projects looking at BME retention and attainment. Further details </w:t>
      </w:r>
      <w:proofErr w:type="gramStart"/>
      <w:r w:rsidRPr="00D54644">
        <w:rPr>
          <w:rFonts w:ascii="Verdana" w:hAnsi="Verdana"/>
        </w:rPr>
        <w:t>can be found</w:t>
      </w:r>
      <w:proofErr w:type="gramEnd"/>
      <w:r w:rsidRPr="00D54644">
        <w:rPr>
          <w:rFonts w:ascii="Verdana" w:hAnsi="Verdana"/>
        </w:rPr>
        <w:t xml:space="preserve"> here </w:t>
      </w:r>
      <w:hyperlink r:id="rId6" w:history="1">
        <w:r w:rsidRPr="00D54644">
          <w:rPr>
            <w:rStyle w:val="Hyperlink"/>
            <w:rFonts w:ascii="Verdana" w:hAnsi="Verdana"/>
          </w:rPr>
          <w:t>https://www.heacademy.ac.uk/workstreams-research/themes/retention-and-success/student-attainment/black-and-minority-ethnic</w:t>
        </w:r>
      </w:hyperlink>
    </w:p>
    <w:p w:rsidR="005A2F54" w:rsidRPr="00D54644" w:rsidRDefault="005A2F54" w:rsidP="006C6A1E">
      <w:pPr>
        <w:spacing w:after="40" w:line="240" w:lineRule="auto"/>
      </w:pPr>
    </w:p>
    <w:p w:rsidR="005A2F54" w:rsidRPr="00D54644" w:rsidRDefault="005A2F54" w:rsidP="006C6A1E">
      <w:pPr>
        <w:spacing w:after="40" w:line="240" w:lineRule="auto"/>
        <w:rPr>
          <w:rFonts w:ascii="Verdana" w:hAnsi="Verdana"/>
        </w:rPr>
      </w:pPr>
      <w:r w:rsidRPr="00D54644">
        <w:rPr>
          <w:rFonts w:ascii="Verdana" w:hAnsi="Verdana"/>
        </w:rPr>
        <w:t xml:space="preserve">Yeager, D., and </w:t>
      </w:r>
      <w:proofErr w:type="spellStart"/>
      <w:r w:rsidRPr="00D54644">
        <w:rPr>
          <w:rFonts w:ascii="Verdana" w:hAnsi="Verdana"/>
        </w:rPr>
        <w:t>Dweck</w:t>
      </w:r>
      <w:proofErr w:type="spellEnd"/>
      <w:r w:rsidRPr="00D54644">
        <w:rPr>
          <w:rFonts w:ascii="Verdana" w:hAnsi="Verdana"/>
        </w:rPr>
        <w:t xml:space="preserve">, C., 2012. </w:t>
      </w:r>
      <w:proofErr w:type="spellStart"/>
      <w:r w:rsidRPr="00D54644">
        <w:rPr>
          <w:rFonts w:ascii="Verdana" w:hAnsi="Verdana"/>
        </w:rPr>
        <w:t>Mindsets</w:t>
      </w:r>
      <w:proofErr w:type="spellEnd"/>
      <w:r w:rsidRPr="00D54644">
        <w:rPr>
          <w:rFonts w:ascii="Verdana" w:hAnsi="Verdana"/>
        </w:rPr>
        <w:t xml:space="preserve"> That Promote Resilience: When Students Believe That Personal Characteristics </w:t>
      </w:r>
      <w:proofErr w:type="gramStart"/>
      <w:r w:rsidRPr="00D54644">
        <w:rPr>
          <w:rFonts w:ascii="Verdana" w:hAnsi="Verdana"/>
        </w:rPr>
        <w:t>Can Be Developed</w:t>
      </w:r>
      <w:proofErr w:type="gramEnd"/>
      <w:r w:rsidRPr="00D54644">
        <w:rPr>
          <w:rFonts w:ascii="Verdana" w:hAnsi="Verdana"/>
          <w:i/>
        </w:rPr>
        <w:t>. Educational Psychologist</w:t>
      </w:r>
      <w:r w:rsidRPr="00D54644">
        <w:rPr>
          <w:rFonts w:ascii="Verdana" w:hAnsi="Verdana"/>
        </w:rPr>
        <w:t>, 47 (4), pp. 302–314.</w:t>
      </w:r>
    </w:p>
    <w:p w:rsidR="005A2F54" w:rsidRPr="00D54644" w:rsidRDefault="005A2F54" w:rsidP="006C6A1E">
      <w:pPr>
        <w:spacing w:after="40" w:line="240" w:lineRule="auto"/>
        <w:rPr>
          <w:rFonts w:ascii="Verdana" w:hAnsi="Verdana"/>
        </w:rPr>
      </w:pPr>
    </w:p>
    <w:p w:rsidR="00D00834" w:rsidRDefault="005A2F54" w:rsidP="006C6A1E">
      <w:pPr>
        <w:spacing w:after="40" w:line="240" w:lineRule="auto"/>
      </w:pPr>
      <w:r w:rsidRPr="00D54644">
        <w:rPr>
          <w:rFonts w:ascii="Verdana" w:hAnsi="Verdana"/>
        </w:rPr>
        <w:t>Yeager D., Purdie-</w:t>
      </w:r>
      <w:proofErr w:type="spellStart"/>
      <w:r w:rsidRPr="00D54644">
        <w:rPr>
          <w:rFonts w:ascii="Verdana" w:hAnsi="Verdana"/>
        </w:rPr>
        <w:t>Vaughns</w:t>
      </w:r>
      <w:proofErr w:type="spellEnd"/>
      <w:r w:rsidRPr="00D54644">
        <w:rPr>
          <w:rFonts w:ascii="Verdana" w:hAnsi="Verdana"/>
        </w:rPr>
        <w:t xml:space="preserve">, V., Garcia, J., </w:t>
      </w:r>
      <w:proofErr w:type="spellStart"/>
      <w:r w:rsidRPr="00D54644">
        <w:rPr>
          <w:rFonts w:ascii="Verdana" w:hAnsi="Verdana"/>
        </w:rPr>
        <w:t>Apfel</w:t>
      </w:r>
      <w:proofErr w:type="spellEnd"/>
      <w:r w:rsidRPr="00D54644">
        <w:rPr>
          <w:rFonts w:ascii="Verdana" w:hAnsi="Verdana"/>
        </w:rPr>
        <w:t xml:space="preserve">, N., </w:t>
      </w:r>
      <w:proofErr w:type="spellStart"/>
      <w:r w:rsidRPr="00D54644">
        <w:rPr>
          <w:rFonts w:ascii="Verdana" w:hAnsi="Verdana"/>
        </w:rPr>
        <w:t>Brzustoski</w:t>
      </w:r>
      <w:proofErr w:type="spellEnd"/>
      <w:r w:rsidRPr="00D54644">
        <w:rPr>
          <w:rFonts w:ascii="Verdana" w:hAnsi="Verdana"/>
        </w:rPr>
        <w:t xml:space="preserve">, P., Master, A., </w:t>
      </w:r>
      <w:proofErr w:type="spellStart"/>
      <w:r w:rsidRPr="00D54644">
        <w:rPr>
          <w:rFonts w:ascii="Verdana" w:hAnsi="Verdana"/>
        </w:rPr>
        <w:t>Hessert</w:t>
      </w:r>
      <w:proofErr w:type="spellEnd"/>
      <w:r w:rsidRPr="00D54644">
        <w:rPr>
          <w:rFonts w:ascii="Verdana" w:hAnsi="Verdana"/>
        </w:rPr>
        <w:t xml:space="preserve">, W., and Williams, M., 2014. Breaking the Cycle of Mistrust: Wise Interventions to Provide Critical Feedback </w:t>
      </w:r>
      <w:proofErr w:type="gramStart"/>
      <w:r w:rsidRPr="00D54644">
        <w:rPr>
          <w:rFonts w:ascii="Verdana" w:hAnsi="Verdana"/>
        </w:rPr>
        <w:t>Across</w:t>
      </w:r>
      <w:proofErr w:type="gramEnd"/>
      <w:r w:rsidRPr="00D54644">
        <w:rPr>
          <w:rFonts w:ascii="Verdana" w:hAnsi="Verdana"/>
        </w:rPr>
        <w:t xml:space="preserve"> the Racial Divide. </w:t>
      </w:r>
      <w:r w:rsidRPr="00D54644">
        <w:rPr>
          <w:rFonts w:ascii="Verdana" w:hAnsi="Verdana"/>
          <w:i/>
        </w:rPr>
        <w:t xml:space="preserve">Journal of Experimental Psychology, </w:t>
      </w:r>
      <w:r w:rsidRPr="00D54644">
        <w:rPr>
          <w:rFonts w:ascii="Verdana" w:hAnsi="Verdana"/>
        </w:rPr>
        <w:t>143 (2), pp. 804–824.</w:t>
      </w:r>
      <w:bookmarkStart w:id="0" w:name="_GoBack"/>
      <w:bookmarkEnd w:id="0"/>
    </w:p>
    <w:p w:rsidR="00DB71AA" w:rsidRPr="00B415C2" w:rsidRDefault="00DB71AA">
      <w:pPr>
        <w:rPr>
          <w:rFonts w:ascii="Verdana" w:hAnsi="Verdana"/>
          <w:sz w:val="20"/>
          <w:szCs w:val="20"/>
        </w:rPr>
      </w:pPr>
    </w:p>
    <w:sectPr w:rsidR="00DB71AA" w:rsidRPr="00B415C2" w:rsidSect="00003C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66F63"/>
    <w:multiLevelType w:val="hybridMultilevel"/>
    <w:tmpl w:val="EE0A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973F6"/>
    <w:multiLevelType w:val="hybridMultilevel"/>
    <w:tmpl w:val="71729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50073A"/>
    <w:multiLevelType w:val="hybridMultilevel"/>
    <w:tmpl w:val="CBC836D8"/>
    <w:lvl w:ilvl="0" w:tplc="6A9A1BEC">
      <w:start w:val="1"/>
      <w:numFmt w:val="bullet"/>
      <w:lvlText w:val="•"/>
      <w:lvlJc w:val="left"/>
      <w:pPr>
        <w:tabs>
          <w:tab w:val="num" w:pos="720"/>
        </w:tabs>
        <w:ind w:left="720" w:hanging="360"/>
      </w:pPr>
      <w:rPr>
        <w:rFonts w:ascii="Times New Roman" w:hAnsi="Times New Roman" w:hint="default"/>
      </w:rPr>
    </w:lvl>
    <w:lvl w:ilvl="1" w:tplc="8778A34E" w:tentative="1">
      <w:start w:val="1"/>
      <w:numFmt w:val="bullet"/>
      <w:lvlText w:val="•"/>
      <w:lvlJc w:val="left"/>
      <w:pPr>
        <w:tabs>
          <w:tab w:val="num" w:pos="1440"/>
        </w:tabs>
        <w:ind w:left="1440" w:hanging="360"/>
      </w:pPr>
      <w:rPr>
        <w:rFonts w:ascii="Times New Roman" w:hAnsi="Times New Roman" w:hint="default"/>
      </w:rPr>
    </w:lvl>
    <w:lvl w:ilvl="2" w:tplc="85F6AA96" w:tentative="1">
      <w:start w:val="1"/>
      <w:numFmt w:val="bullet"/>
      <w:lvlText w:val="•"/>
      <w:lvlJc w:val="left"/>
      <w:pPr>
        <w:tabs>
          <w:tab w:val="num" w:pos="2160"/>
        </w:tabs>
        <w:ind w:left="2160" w:hanging="360"/>
      </w:pPr>
      <w:rPr>
        <w:rFonts w:ascii="Times New Roman" w:hAnsi="Times New Roman" w:hint="default"/>
      </w:rPr>
    </w:lvl>
    <w:lvl w:ilvl="3" w:tplc="BB0648B0" w:tentative="1">
      <w:start w:val="1"/>
      <w:numFmt w:val="bullet"/>
      <w:lvlText w:val="•"/>
      <w:lvlJc w:val="left"/>
      <w:pPr>
        <w:tabs>
          <w:tab w:val="num" w:pos="2880"/>
        </w:tabs>
        <w:ind w:left="2880" w:hanging="360"/>
      </w:pPr>
      <w:rPr>
        <w:rFonts w:ascii="Times New Roman" w:hAnsi="Times New Roman" w:hint="default"/>
      </w:rPr>
    </w:lvl>
    <w:lvl w:ilvl="4" w:tplc="2026AB02" w:tentative="1">
      <w:start w:val="1"/>
      <w:numFmt w:val="bullet"/>
      <w:lvlText w:val="•"/>
      <w:lvlJc w:val="left"/>
      <w:pPr>
        <w:tabs>
          <w:tab w:val="num" w:pos="3600"/>
        </w:tabs>
        <w:ind w:left="3600" w:hanging="360"/>
      </w:pPr>
      <w:rPr>
        <w:rFonts w:ascii="Times New Roman" w:hAnsi="Times New Roman" w:hint="default"/>
      </w:rPr>
    </w:lvl>
    <w:lvl w:ilvl="5" w:tplc="039012B0" w:tentative="1">
      <w:start w:val="1"/>
      <w:numFmt w:val="bullet"/>
      <w:lvlText w:val="•"/>
      <w:lvlJc w:val="left"/>
      <w:pPr>
        <w:tabs>
          <w:tab w:val="num" w:pos="4320"/>
        </w:tabs>
        <w:ind w:left="4320" w:hanging="360"/>
      </w:pPr>
      <w:rPr>
        <w:rFonts w:ascii="Times New Roman" w:hAnsi="Times New Roman" w:hint="default"/>
      </w:rPr>
    </w:lvl>
    <w:lvl w:ilvl="6" w:tplc="4A76FB36" w:tentative="1">
      <w:start w:val="1"/>
      <w:numFmt w:val="bullet"/>
      <w:lvlText w:val="•"/>
      <w:lvlJc w:val="left"/>
      <w:pPr>
        <w:tabs>
          <w:tab w:val="num" w:pos="5040"/>
        </w:tabs>
        <w:ind w:left="5040" w:hanging="360"/>
      </w:pPr>
      <w:rPr>
        <w:rFonts w:ascii="Times New Roman" w:hAnsi="Times New Roman" w:hint="default"/>
      </w:rPr>
    </w:lvl>
    <w:lvl w:ilvl="7" w:tplc="E60862B2" w:tentative="1">
      <w:start w:val="1"/>
      <w:numFmt w:val="bullet"/>
      <w:lvlText w:val="•"/>
      <w:lvlJc w:val="left"/>
      <w:pPr>
        <w:tabs>
          <w:tab w:val="num" w:pos="5760"/>
        </w:tabs>
        <w:ind w:left="5760" w:hanging="360"/>
      </w:pPr>
      <w:rPr>
        <w:rFonts w:ascii="Times New Roman" w:hAnsi="Times New Roman" w:hint="default"/>
      </w:rPr>
    </w:lvl>
    <w:lvl w:ilvl="8" w:tplc="A9B4F30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79"/>
    <w:rsid w:val="00003CE5"/>
    <w:rsid w:val="000155A9"/>
    <w:rsid w:val="000910D1"/>
    <w:rsid w:val="000E09B9"/>
    <w:rsid w:val="00106D84"/>
    <w:rsid w:val="00106FC4"/>
    <w:rsid w:val="00135079"/>
    <w:rsid w:val="001A73C2"/>
    <w:rsid w:val="001E2E48"/>
    <w:rsid w:val="001E58CA"/>
    <w:rsid w:val="002905C0"/>
    <w:rsid w:val="00342053"/>
    <w:rsid w:val="003B6D02"/>
    <w:rsid w:val="00492E65"/>
    <w:rsid w:val="004A3998"/>
    <w:rsid w:val="004E479B"/>
    <w:rsid w:val="005A2F54"/>
    <w:rsid w:val="005B3C47"/>
    <w:rsid w:val="005E0254"/>
    <w:rsid w:val="00663CC2"/>
    <w:rsid w:val="006663D4"/>
    <w:rsid w:val="00694C2D"/>
    <w:rsid w:val="006A7188"/>
    <w:rsid w:val="006C6A1E"/>
    <w:rsid w:val="00734B77"/>
    <w:rsid w:val="00847197"/>
    <w:rsid w:val="008876AC"/>
    <w:rsid w:val="009A7F18"/>
    <w:rsid w:val="00A031B3"/>
    <w:rsid w:val="00A44E0A"/>
    <w:rsid w:val="00A837C3"/>
    <w:rsid w:val="00AD5C25"/>
    <w:rsid w:val="00AE3B6B"/>
    <w:rsid w:val="00B01482"/>
    <w:rsid w:val="00B415C2"/>
    <w:rsid w:val="00CF580B"/>
    <w:rsid w:val="00D00834"/>
    <w:rsid w:val="00D0620D"/>
    <w:rsid w:val="00D22BE0"/>
    <w:rsid w:val="00D26BD1"/>
    <w:rsid w:val="00D54644"/>
    <w:rsid w:val="00DB71AA"/>
    <w:rsid w:val="00DF6FDE"/>
    <w:rsid w:val="00E4649D"/>
    <w:rsid w:val="00EE5D83"/>
    <w:rsid w:val="00F8215E"/>
    <w:rsid w:val="00FC4C56"/>
    <w:rsid w:val="00FF2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CB655-1822-4784-B12B-A9556B7F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07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155A9"/>
    <w:rPr>
      <w:color w:val="0000FF" w:themeColor="hyperlink"/>
      <w:u w:val="single"/>
    </w:rPr>
  </w:style>
  <w:style w:type="paragraph" w:styleId="ListParagraph">
    <w:name w:val="List Paragraph"/>
    <w:basedOn w:val="Normal"/>
    <w:uiPriority w:val="34"/>
    <w:qFormat/>
    <w:rsid w:val="005B3C47"/>
    <w:pPr>
      <w:spacing w:line="256" w:lineRule="auto"/>
      <w:ind w:left="720"/>
      <w:contextualSpacing/>
    </w:pPr>
  </w:style>
  <w:style w:type="paragraph" w:styleId="BalloonText">
    <w:name w:val="Balloon Text"/>
    <w:basedOn w:val="Normal"/>
    <w:link w:val="BalloonTextChar"/>
    <w:uiPriority w:val="99"/>
    <w:semiHidden/>
    <w:unhideWhenUsed/>
    <w:rsid w:val="006A7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6488">
      <w:bodyDiv w:val="1"/>
      <w:marLeft w:val="0"/>
      <w:marRight w:val="0"/>
      <w:marTop w:val="0"/>
      <w:marBottom w:val="0"/>
      <w:divBdr>
        <w:top w:val="none" w:sz="0" w:space="0" w:color="auto"/>
        <w:left w:val="none" w:sz="0" w:space="0" w:color="auto"/>
        <w:bottom w:val="none" w:sz="0" w:space="0" w:color="auto"/>
        <w:right w:val="none" w:sz="0" w:space="0" w:color="auto"/>
      </w:divBdr>
    </w:div>
    <w:div w:id="828713161">
      <w:bodyDiv w:val="1"/>
      <w:marLeft w:val="0"/>
      <w:marRight w:val="0"/>
      <w:marTop w:val="0"/>
      <w:marBottom w:val="0"/>
      <w:divBdr>
        <w:top w:val="none" w:sz="0" w:space="0" w:color="auto"/>
        <w:left w:val="none" w:sz="0" w:space="0" w:color="auto"/>
        <w:bottom w:val="none" w:sz="0" w:space="0" w:color="auto"/>
        <w:right w:val="none" w:sz="0" w:space="0" w:color="auto"/>
      </w:divBdr>
    </w:div>
    <w:div w:id="838882841">
      <w:bodyDiv w:val="1"/>
      <w:marLeft w:val="0"/>
      <w:marRight w:val="0"/>
      <w:marTop w:val="0"/>
      <w:marBottom w:val="0"/>
      <w:divBdr>
        <w:top w:val="none" w:sz="0" w:space="0" w:color="auto"/>
        <w:left w:val="none" w:sz="0" w:space="0" w:color="auto"/>
        <w:bottom w:val="none" w:sz="0" w:space="0" w:color="auto"/>
        <w:right w:val="none" w:sz="0" w:space="0" w:color="auto"/>
      </w:divBdr>
    </w:div>
    <w:div w:id="1106116891">
      <w:bodyDiv w:val="1"/>
      <w:marLeft w:val="0"/>
      <w:marRight w:val="0"/>
      <w:marTop w:val="0"/>
      <w:marBottom w:val="0"/>
      <w:divBdr>
        <w:top w:val="none" w:sz="0" w:space="0" w:color="auto"/>
        <w:left w:val="none" w:sz="0" w:space="0" w:color="auto"/>
        <w:bottom w:val="none" w:sz="0" w:space="0" w:color="auto"/>
        <w:right w:val="none" w:sz="0" w:space="0" w:color="auto"/>
      </w:divBdr>
      <w:divsChild>
        <w:div w:id="2075614510">
          <w:marLeft w:val="302"/>
          <w:marRight w:val="0"/>
          <w:marTop w:val="79"/>
          <w:marBottom w:val="53"/>
          <w:divBdr>
            <w:top w:val="none" w:sz="0" w:space="0" w:color="auto"/>
            <w:left w:val="none" w:sz="0" w:space="0" w:color="auto"/>
            <w:bottom w:val="none" w:sz="0" w:space="0" w:color="auto"/>
            <w:right w:val="none" w:sz="0" w:space="0" w:color="auto"/>
          </w:divBdr>
        </w:div>
      </w:divsChild>
    </w:div>
    <w:div w:id="1282767885">
      <w:bodyDiv w:val="1"/>
      <w:marLeft w:val="0"/>
      <w:marRight w:val="0"/>
      <w:marTop w:val="0"/>
      <w:marBottom w:val="0"/>
      <w:divBdr>
        <w:top w:val="none" w:sz="0" w:space="0" w:color="auto"/>
        <w:left w:val="none" w:sz="0" w:space="0" w:color="auto"/>
        <w:bottom w:val="none" w:sz="0" w:space="0" w:color="auto"/>
        <w:right w:val="none" w:sz="0" w:space="0" w:color="auto"/>
      </w:divBdr>
    </w:div>
    <w:div w:id="18373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cademy.ac.uk/workstreams-research/themes/retention-and-success/student-attainment/black-and-minority-ethnic" TargetMode="External"/><Relationship Id="rId5" Type="http://schemas.openxmlformats.org/officeDocument/2006/relationships/hyperlink" Target="http://www.open.ac.uk/equality-diversity/sites/www.open.ac.uk.equality-diversity/files/files/ecms/web-content/Annual-Report-2013-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Lawther, Sarah</cp:lastModifiedBy>
  <cp:revision>2</cp:revision>
  <cp:lastPrinted>2016-07-04T15:29:00Z</cp:lastPrinted>
  <dcterms:created xsi:type="dcterms:W3CDTF">2016-07-18T09:47:00Z</dcterms:created>
  <dcterms:modified xsi:type="dcterms:W3CDTF">2016-07-18T09:47:00Z</dcterms:modified>
</cp:coreProperties>
</file>